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8" w:tblpY="1"/>
        <w:tblOverlap w:val="never"/>
        <w:tblW w:w="0" w:type="auto"/>
        <w:tblBorders>
          <w:bottom w:val="single" w:sz="18" w:space="0" w:color="auto"/>
        </w:tblBorders>
        <w:tblLayout w:type="fixed"/>
        <w:tblLook w:val="0000" w:firstRow="0" w:lastRow="0" w:firstColumn="0" w:lastColumn="0" w:noHBand="0" w:noVBand="0"/>
      </w:tblPr>
      <w:tblGrid>
        <w:gridCol w:w="1390"/>
        <w:gridCol w:w="6278"/>
        <w:gridCol w:w="1546"/>
      </w:tblGrid>
      <w:tr w:rsidR="00A12528" w14:paraId="7B29CA7E" w14:textId="77777777" w:rsidTr="00F217B9">
        <w:trPr>
          <w:cantSplit/>
          <w:trHeight w:val="63"/>
        </w:trPr>
        <w:tc>
          <w:tcPr>
            <w:tcW w:w="1390" w:type="dxa"/>
            <w:vMerge w:val="restart"/>
            <w:vAlign w:val="center"/>
          </w:tcPr>
          <w:p w14:paraId="11208C81" w14:textId="77777777" w:rsidR="00452336" w:rsidRDefault="008E4E8C" w:rsidP="00452336">
            <w:pPr>
              <w:jc w:val="both"/>
              <w:rPr>
                <w:rFonts w:ascii="Arial" w:hAnsi="Arial" w:cs="Arial"/>
                <w:b/>
                <w:sz w:val="48"/>
                <w:szCs w:val="48"/>
              </w:rPr>
            </w:pPr>
            <w:r>
              <w:rPr>
                <w:rFonts w:ascii="Arial" w:hAnsi="Arial" w:cs="Arial"/>
                <w:b/>
                <w:sz w:val="48"/>
                <w:szCs w:val="48"/>
              </w:rPr>
              <w:t xml:space="preserve">KWG </w:t>
            </w:r>
          </w:p>
          <w:p w14:paraId="28BADEDF" w14:textId="77777777" w:rsidR="00452336" w:rsidRPr="00F60DA1" w:rsidRDefault="008E4E8C" w:rsidP="00452336">
            <w:pPr>
              <w:jc w:val="both"/>
              <w:rPr>
                <w:rFonts w:ascii="Arial" w:hAnsi="Arial" w:cs="Arial"/>
                <w:b/>
                <w:sz w:val="48"/>
                <w:szCs w:val="48"/>
              </w:rPr>
            </w:pPr>
            <w:r>
              <w:rPr>
                <w:rFonts w:ascii="Arial" w:hAnsi="Arial" w:cs="Arial"/>
                <w:b/>
                <w:sz w:val="48"/>
                <w:szCs w:val="48"/>
              </w:rPr>
              <w:t xml:space="preserve"> </w:t>
            </w:r>
          </w:p>
        </w:tc>
        <w:tc>
          <w:tcPr>
            <w:tcW w:w="6278" w:type="dxa"/>
            <w:vAlign w:val="center"/>
          </w:tcPr>
          <w:p w14:paraId="2404D8B8" w14:textId="77777777" w:rsidR="00452336" w:rsidRPr="000B430F" w:rsidRDefault="008E4E8C" w:rsidP="00452336">
            <w:pPr>
              <w:jc w:val="right"/>
              <w:rPr>
                <w:rFonts w:ascii="Arial" w:hAnsi="Arial" w:cs="Arial"/>
                <w:b/>
                <w:bCs/>
                <w:sz w:val="20"/>
                <w:szCs w:val="20"/>
              </w:rPr>
            </w:pPr>
            <w:r w:rsidRPr="000B430F">
              <w:rPr>
                <w:rFonts w:ascii="Arial" w:hAnsi="Arial" w:cs="Arial"/>
                <w:b/>
                <w:bCs/>
                <w:sz w:val="20"/>
                <w:szCs w:val="20"/>
              </w:rPr>
              <w:t>PRESS RELEASE</w:t>
            </w:r>
          </w:p>
        </w:tc>
        <w:tc>
          <w:tcPr>
            <w:tcW w:w="1546" w:type="dxa"/>
          </w:tcPr>
          <w:p w14:paraId="68FADE29" w14:textId="52FD1F0B" w:rsidR="00452336" w:rsidRPr="000B430F" w:rsidRDefault="00A51934" w:rsidP="00613C41">
            <w:pPr>
              <w:jc w:val="right"/>
              <w:rPr>
                <w:rFonts w:ascii="Arial" w:hAnsi="Arial" w:cs="Arial"/>
                <w:b/>
                <w:bCs/>
                <w:smallCaps/>
                <w:sz w:val="20"/>
                <w:szCs w:val="20"/>
              </w:rPr>
            </w:pPr>
            <w:r>
              <w:rPr>
                <w:rFonts w:ascii="Arial" w:hAnsi="Arial" w:cs="Arial"/>
                <w:b/>
                <w:bCs/>
                <w:smallCaps/>
                <w:sz w:val="20"/>
                <w:szCs w:val="20"/>
              </w:rPr>
              <w:t>No.</w:t>
            </w:r>
            <w:r w:rsidR="001B0148">
              <w:rPr>
                <w:rFonts w:ascii="Arial" w:hAnsi="Arial" w:cs="Arial"/>
                <w:b/>
                <w:bCs/>
                <w:smallCaps/>
                <w:sz w:val="20"/>
                <w:szCs w:val="20"/>
              </w:rPr>
              <w:t>3</w:t>
            </w:r>
            <w:r w:rsidR="00A85AA8">
              <w:rPr>
                <w:rFonts w:ascii="Arial" w:hAnsi="Arial" w:cs="Arial"/>
                <w:b/>
                <w:bCs/>
                <w:smallCaps/>
                <w:sz w:val="20"/>
                <w:szCs w:val="20"/>
              </w:rPr>
              <w:t>4</w:t>
            </w:r>
            <w:r w:rsidR="00B55FCD">
              <w:rPr>
                <w:rFonts w:ascii="Arial" w:hAnsi="Arial" w:cs="Arial"/>
                <w:b/>
                <w:bCs/>
                <w:smallCaps/>
                <w:sz w:val="20"/>
                <w:szCs w:val="20"/>
              </w:rPr>
              <w:t>5</w:t>
            </w:r>
            <w:bookmarkStart w:id="0" w:name="_GoBack"/>
            <w:bookmarkEnd w:id="0"/>
          </w:p>
        </w:tc>
      </w:tr>
      <w:tr w:rsidR="00A12528" w14:paraId="6D504616" w14:textId="77777777" w:rsidTr="00F217B9">
        <w:trPr>
          <w:cantSplit/>
          <w:trHeight w:val="63"/>
        </w:trPr>
        <w:tc>
          <w:tcPr>
            <w:tcW w:w="1390" w:type="dxa"/>
            <w:vMerge/>
            <w:vAlign w:val="center"/>
          </w:tcPr>
          <w:p w14:paraId="0D4A50CB" w14:textId="77777777" w:rsidR="00452336" w:rsidRPr="00FD53E7" w:rsidRDefault="00452336" w:rsidP="00452336">
            <w:pPr>
              <w:jc w:val="both"/>
              <w:rPr>
                <w:rFonts w:ascii="Arial" w:hAnsi="Arial" w:cs="Arial"/>
                <w:sz w:val="21"/>
                <w:szCs w:val="21"/>
              </w:rPr>
            </w:pPr>
          </w:p>
        </w:tc>
        <w:tc>
          <w:tcPr>
            <w:tcW w:w="6278" w:type="dxa"/>
            <w:vAlign w:val="center"/>
          </w:tcPr>
          <w:p w14:paraId="770A2986" w14:textId="77777777" w:rsidR="00452336" w:rsidRPr="000B430F" w:rsidRDefault="00452336" w:rsidP="00452336">
            <w:pPr>
              <w:jc w:val="right"/>
              <w:rPr>
                <w:rFonts w:ascii="Arial" w:hAnsi="Arial" w:cs="Arial"/>
                <w:b/>
                <w:bCs/>
                <w:sz w:val="20"/>
                <w:szCs w:val="20"/>
              </w:rPr>
            </w:pPr>
          </w:p>
        </w:tc>
        <w:tc>
          <w:tcPr>
            <w:tcW w:w="1546" w:type="dxa"/>
          </w:tcPr>
          <w:p w14:paraId="5BE7F935" w14:textId="77777777" w:rsidR="00452336" w:rsidRPr="000B430F" w:rsidRDefault="00452336" w:rsidP="00452336">
            <w:pPr>
              <w:jc w:val="right"/>
              <w:rPr>
                <w:rFonts w:ascii="Arial" w:hAnsi="Arial" w:cs="Arial"/>
                <w:b/>
                <w:bCs/>
                <w:smallCaps/>
                <w:sz w:val="20"/>
                <w:szCs w:val="20"/>
              </w:rPr>
            </w:pPr>
          </w:p>
        </w:tc>
      </w:tr>
      <w:tr w:rsidR="0011214A" w14:paraId="66726B97" w14:textId="77777777" w:rsidTr="00F217B9">
        <w:trPr>
          <w:cantSplit/>
          <w:trHeight w:val="63"/>
        </w:trPr>
        <w:tc>
          <w:tcPr>
            <w:tcW w:w="1390" w:type="dxa"/>
            <w:vMerge/>
            <w:vAlign w:val="center"/>
          </w:tcPr>
          <w:p w14:paraId="3B9DA00C" w14:textId="77777777" w:rsidR="0011214A" w:rsidRPr="00FD53E7" w:rsidRDefault="0011214A" w:rsidP="0011214A">
            <w:pPr>
              <w:jc w:val="both"/>
              <w:rPr>
                <w:rFonts w:ascii="Arial" w:hAnsi="Arial" w:cs="Arial"/>
                <w:sz w:val="21"/>
                <w:szCs w:val="21"/>
              </w:rPr>
            </w:pPr>
          </w:p>
        </w:tc>
        <w:tc>
          <w:tcPr>
            <w:tcW w:w="6278" w:type="dxa"/>
            <w:vAlign w:val="center"/>
          </w:tcPr>
          <w:p w14:paraId="2911AF1F" w14:textId="77777777" w:rsidR="0011214A" w:rsidRPr="0011214A" w:rsidRDefault="0011214A" w:rsidP="0011214A">
            <w:pPr>
              <w:jc w:val="right"/>
              <w:rPr>
                <w:rFonts w:ascii="Arial" w:hAnsi="Arial" w:cs="Arial"/>
                <w:bCs/>
                <w:i/>
                <w:sz w:val="20"/>
                <w:szCs w:val="20"/>
              </w:rPr>
            </w:pPr>
            <w:r w:rsidRPr="0011214A">
              <w:rPr>
                <w:rFonts w:ascii="Arial" w:hAnsi="Arial" w:cs="Arial"/>
                <w:bCs/>
                <w:i/>
                <w:sz w:val="20"/>
                <w:szCs w:val="20"/>
              </w:rPr>
              <w:t xml:space="preserve">Subordinate shares issued &amp; outstanding </w:t>
            </w:r>
            <w:r w:rsidRPr="0011214A">
              <w:rPr>
                <w:rFonts w:ascii="Arial" w:hAnsi="Arial" w:cs="Arial"/>
                <w:b/>
                <w:bCs/>
                <w:sz w:val="20"/>
                <w:szCs w:val="20"/>
              </w:rPr>
              <w:t>(CSE-KWG)</w:t>
            </w:r>
          </w:p>
        </w:tc>
        <w:tc>
          <w:tcPr>
            <w:tcW w:w="1546" w:type="dxa"/>
          </w:tcPr>
          <w:p w14:paraId="26780C09" w14:textId="7A329237" w:rsidR="0011214A" w:rsidRPr="00F96BD3" w:rsidRDefault="0011214A" w:rsidP="00613C41">
            <w:pPr>
              <w:jc w:val="right"/>
              <w:rPr>
                <w:rFonts w:ascii="Arial" w:eastAsia="Times New Roman" w:hAnsi="Arial" w:cs="Arial"/>
                <w:b/>
                <w:sz w:val="20"/>
                <w:szCs w:val="20"/>
                <w:u w:val="single"/>
                <w:lang w:eastAsia="en-CA"/>
              </w:rPr>
            </w:pPr>
            <w:r w:rsidRPr="00F96BD3">
              <w:rPr>
                <w:rFonts w:ascii="Arial" w:eastAsia="Times New Roman" w:hAnsi="Arial" w:cs="Arial"/>
                <w:b/>
                <w:sz w:val="20"/>
                <w:szCs w:val="20"/>
                <w:u w:val="single"/>
                <w:lang w:eastAsia="en-CA"/>
              </w:rPr>
              <w:t>1,</w:t>
            </w:r>
            <w:r w:rsidR="00A85AA8">
              <w:rPr>
                <w:rFonts w:ascii="Arial" w:eastAsia="Times New Roman" w:hAnsi="Arial" w:cs="Arial"/>
                <w:b/>
                <w:sz w:val="20"/>
                <w:szCs w:val="20"/>
                <w:u w:val="single"/>
                <w:lang w:eastAsia="en-CA"/>
              </w:rPr>
              <w:t>220,</w:t>
            </w:r>
            <w:r w:rsidR="00613C41">
              <w:rPr>
                <w:rFonts w:ascii="Arial" w:eastAsia="Times New Roman" w:hAnsi="Arial" w:cs="Arial"/>
                <w:b/>
                <w:sz w:val="20"/>
                <w:szCs w:val="20"/>
                <w:u w:val="single"/>
                <w:lang w:eastAsia="en-CA"/>
              </w:rPr>
              <w:t>7</w:t>
            </w:r>
            <w:r w:rsidR="00A85AA8">
              <w:rPr>
                <w:rFonts w:ascii="Arial" w:eastAsia="Times New Roman" w:hAnsi="Arial" w:cs="Arial"/>
                <w:b/>
                <w:sz w:val="20"/>
                <w:szCs w:val="20"/>
                <w:u w:val="single"/>
                <w:lang w:eastAsia="en-CA"/>
              </w:rPr>
              <w:t>79,432</w:t>
            </w:r>
          </w:p>
        </w:tc>
      </w:tr>
      <w:tr w:rsidR="0011214A" w14:paraId="2720A3CE" w14:textId="77777777" w:rsidTr="00F217B9">
        <w:trPr>
          <w:cantSplit/>
          <w:trHeight w:val="63"/>
        </w:trPr>
        <w:tc>
          <w:tcPr>
            <w:tcW w:w="1390" w:type="dxa"/>
            <w:vMerge/>
            <w:vAlign w:val="center"/>
          </w:tcPr>
          <w:p w14:paraId="4E967425" w14:textId="77777777" w:rsidR="0011214A" w:rsidRPr="00FD53E7" w:rsidRDefault="0011214A" w:rsidP="0011214A">
            <w:pPr>
              <w:jc w:val="both"/>
              <w:rPr>
                <w:rFonts w:ascii="Arial" w:hAnsi="Arial" w:cs="Arial"/>
                <w:sz w:val="21"/>
                <w:szCs w:val="21"/>
              </w:rPr>
            </w:pPr>
          </w:p>
        </w:tc>
        <w:tc>
          <w:tcPr>
            <w:tcW w:w="6278" w:type="dxa"/>
            <w:vAlign w:val="center"/>
          </w:tcPr>
          <w:p w14:paraId="7CF285AE" w14:textId="3A4426BD" w:rsidR="0011214A" w:rsidRPr="0011214A" w:rsidRDefault="0011214A" w:rsidP="0011214A">
            <w:pPr>
              <w:jc w:val="right"/>
              <w:rPr>
                <w:rFonts w:ascii="Arial" w:hAnsi="Arial" w:cs="Arial"/>
                <w:bCs/>
                <w:i/>
                <w:sz w:val="20"/>
                <w:szCs w:val="20"/>
              </w:rPr>
            </w:pPr>
            <w:r w:rsidRPr="0011214A">
              <w:rPr>
                <w:rFonts w:ascii="Arial" w:hAnsi="Arial" w:cs="Arial"/>
                <w:bCs/>
                <w:i/>
                <w:sz w:val="20"/>
                <w:szCs w:val="20"/>
              </w:rPr>
              <w:t>Convertibl</w:t>
            </w:r>
            <w:r w:rsidR="00A85AA8">
              <w:rPr>
                <w:rFonts w:ascii="Arial" w:hAnsi="Arial" w:cs="Arial"/>
                <w:bCs/>
                <w:i/>
                <w:sz w:val="20"/>
                <w:szCs w:val="20"/>
              </w:rPr>
              <w:t>e into Multiple-voting shares (1</w:t>
            </w:r>
            <w:r w:rsidRPr="0011214A">
              <w:rPr>
                <w:rFonts w:ascii="Arial" w:hAnsi="Arial" w:cs="Arial"/>
                <w:bCs/>
                <w:i/>
                <w:sz w:val="20"/>
                <w:szCs w:val="20"/>
              </w:rPr>
              <w:t xml:space="preserve">00:1) equal to: </w:t>
            </w:r>
          </w:p>
        </w:tc>
        <w:tc>
          <w:tcPr>
            <w:tcW w:w="1546" w:type="dxa"/>
          </w:tcPr>
          <w:p w14:paraId="7EFF6708" w14:textId="4E448768" w:rsidR="0011214A" w:rsidRPr="0011214A" w:rsidRDefault="00A85AA8" w:rsidP="00613C41">
            <w:pPr>
              <w:jc w:val="right"/>
              <w:rPr>
                <w:rFonts w:ascii="Arial" w:eastAsia="Times New Roman" w:hAnsi="Arial" w:cs="Arial"/>
                <w:b/>
                <w:sz w:val="20"/>
                <w:szCs w:val="20"/>
                <w:lang w:eastAsia="en-CA"/>
              </w:rPr>
            </w:pPr>
            <w:r>
              <w:rPr>
                <w:rFonts w:ascii="Arial" w:eastAsia="Times New Roman" w:hAnsi="Arial" w:cs="Arial"/>
                <w:b/>
                <w:sz w:val="20"/>
                <w:szCs w:val="20"/>
                <w:lang w:eastAsia="en-CA"/>
              </w:rPr>
              <w:t>12,20</w:t>
            </w:r>
            <w:r w:rsidR="00613C41">
              <w:rPr>
                <w:rFonts w:ascii="Arial" w:eastAsia="Times New Roman" w:hAnsi="Arial" w:cs="Arial"/>
                <w:b/>
                <w:sz w:val="20"/>
                <w:szCs w:val="20"/>
                <w:lang w:eastAsia="en-CA"/>
              </w:rPr>
              <w:t>7</w:t>
            </w:r>
            <w:r>
              <w:rPr>
                <w:rFonts w:ascii="Arial" w:eastAsia="Times New Roman" w:hAnsi="Arial" w:cs="Arial"/>
                <w:b/>
                <w:sz w:val="20"/>
                <w:szCs w:val="20"/>
                <w:lang w:eastAsia="en-CA"/>
              </w:rPr>
              <w:t>,794</w:t>
            </w:r>
          </w:p>
        </w:tc>
      </w:tr>
      <w:tr w:rsidR="0011214A" w14:paraId="1E1EE7CE" w14:textId="77777777" w:rsidTr="00F217B9">
        <w:trPr>
          <w:cantSplit/>
          <w:trHeight w:val="63"/>
        </w:trPr>
        <w:tc>
          <w:tcPr>
            <w:tcW w:w="1390" w:type="dxa"/>
            <w:vMerge/>
            <w:vAlign w:val="center"/>
          </w:tcPr>
          <w:p w14:paraId="2A38E017" w14:textId="77777777" w:rsidR="0011214A" w:rsidRPr="00FD53E7" w:rsidRDefault="0011214A" w:rsidP="0011214A">
            <w:pPr>
              <w:jc w:val="both"/>
              <w:rPr>
                <w:rFonts w:ascii="Arial" w:hAnsi="Arial" w:cs="Arial"/>
                <w:sz w:val="21"/>
                <w:szCs w:val="21"/>
              </w:rPr>
            </w:pPr>
          </w:p>
        </w:tc>
        <w:tc>
          <w:tcPr>
            <w:tcW w:w="6278" w:type="dxa"/>
            <w:vAlign w:val="center"/>
          </w:tcPr>
          <w:p w14:paraId="62F9AC6B" w14:textId="77777777" w:rsidR="0011214A" w:rsidRPr="0011214A" w:rsidRDefault="0011214A" w:rsidP="0011214A">
            <w:pPr>
              <w:jc w:val="right"/>
              <w:rPr>
                <w:rFonts w:ascii="Arial" w:hAnsi="Arial" w:cs="Arial"/>
                <w:bCs/>
                <w:i/>
                <w:sz w:val="20"/>
                <w:szCs w:val="20"/>
              </w:rPr>
            </w:pPr>
            <w:r w:rsidRPr="0011214A">
              <w:rPr>
                <w:rFonts w:ascii="Arial" w:hAnsi="Arial" w:cs="Arial"/>
                <w:bCs/>
                <w:i/>
                <w:sz w:val="20"/>
                <w:szCs w:val="20"/>
              </w:rPr>
              <w:t>Multiple-voting shares</w:t>
            </w:r>
            <w:r w:rsidRPr="0011214A">
              <w:rPr>
                <w:i/>
                <w:sz w:val="20"/>
                <w:szCs w:val="20"/>
              </w:rPr>
              <w:t xml:space="preserve"> </w:t>
            </w:r>
            <w:r w:rsidRPr="0011214A">
              <w:rPr>
                <w:rFonts w:ascii="Arial" w:hAnsi="Arial" w:cs="Arial"/>
                <w:bCs/>
                <w:i/>
                <w:sz w:val="20"/>
                <w:szCs w:val="20"/>
              </w:rPr>
              <w:t>issued &amp; outstanding:</w:t>
            </w:r>
          </w:p>
        </w:tc>
        <w:tc>
          <w:tcPr>
            <w:tcW w:w="1546" w:type="dxa"/>
          </w:tcPr>
          <w:p w14:paraId="1F586B73" w14:textId="4FA0500F" w:rsidR="0011214A" w:rsidRPr="0011214A" w:rsidRDefault="00613C41" w:rsidP="0011214A">
            <w:pPr>
              <w:jc w:val="right"/>
              <w:rPr>
                <w:rFonts w:ascii="Arial" w:hAnsi="Arial" w:cs="Arial"/>
                <w:b/>
                <w:bCs/>
                <w:smallCaps/>
                <w:sz w:val="20"/>
                <w:szCs w:val="20"/>
                <w:u w:val="single"/>
              </w:rPr>
            </w:pPr>
            <w:r>
              <w:rPr>
                <w:rFonts w:ascii="Arial" w:eastAsia="Times New Roman" w:hAnsi="Arial" w:cs="Arial"/>
                <w:b/>
                <w:sz w:val="20"/>
                <w:szCs w:val="20"/>
                <w:u w:val="single"/>
                <w:lang w:eastAsia="en-CA"/>
              </w:rPr>
              <w:t>8,139,337</w:t>
            </w:r>
          </w:p>
        </w:tc>
      </w:tr>
      <w:tr w:rsidR="0011214A" w14:paraId="7155B997" w14:textId="77777777" w:rsidTr="00F217B9">
        <w:trPr>
          <w:cantSplit/>
          <w:trHeight w:val="63"/>
        </w:trPr>
        <w:tc>
          <w:tcPr>
            <w:tcW w:w="1390" w:type="dxa"/>
            <w:vAlign w:val="center"/>
          </w:tcPr>
          <w:p w14:paraId="22AF9930" w14:textId="77777777" w:rsidR="0011214A" w:rsidRPr="00FD53E7" w:rsidRDefault="0011214A" w:rsidP="0011214A">
            <w:pPr>
              <w:jc w:val="both"/>
              <w:rPr>
                <w:rFonts w:ascii="Arial" w:hAnsi="Arial" w:cs="Arial"/>
                <w:sz w:val="21"/>
                <w:szCs w:val="21"/>
              </w:rPr>
            </w:pPr>
          </w:p>
        </w:tc>
        <w:tc>
          <w:tcPr>
            <w:tcW w:w="6278" w:type="dxa"/>
            <w:vAlign w:val="center"/>
          </w:tcPr>
          <w:p w14:paraId="459487A0" w14:textId="77777777" w:rsidR="0011214A" w:rsidRPr="0011214A" w:rsidRDefault="0011214A" w:rsidP="0011214A">
            <w:pPr>
              <w:jc w:val="right"/>
              <w:rPr>
                <w:rFonts w:ascii="Arial" w:hAnsi="Arial" w:cs="Arial"/>
                <w:bCs/>
                <w:i/>
                <w:sz w:val="20"/>
                <w:szCs w:val="20"/>
              </w:rPr>
            </w:pPr>
            <w:r w:rsidRPr="0011214A">
              <w:rPr>
                <w:rFonts w:ascii="Arial" w:hAnsi="Arial" w:cs="Arial"/>
                <w:b/>
                <w:bCs/>
                <w:i/>
                <w:sz w:val="20"/>
                <w:szCs w:val="20"/>
              </w:rPr>
              <w:t>If all shares convert</w:t>
            </w:r>
            <w:r w:rsidRPr="0011214A">
              <w:rPr>
                <w:rFonts w:ascii="Arial" w:hAnsi="Arial" w:cs="Arial"/>
                <w:bCs/>
                <w:i/>
                <w:sz w:val="20"/>
                <w:szCs w:val="20"/>
              </w:rPr>
              <w:t xml:space="preserve"> to Multiple-voting </w:t>
            </w:r>
            <w:r w:rsidRPr="0011214A">
              <w:rPr>
                <w:rFonts w:ascii="Arial" w:hAnsi="Arial" w:cs="Arial"/>
                <w:b/>
                <w:bCs/>
                <w:sz w:val="20"/>
                <w:szCs w:val="20"/>
              </w:rPr>
              <w:t>(</w:t>
            </w:r>
            <w:r w:rsidRPr="0011214A">
              <w:rPr>
                <w:rFonts w:ascii="Arial" w:hAnsi="Arial" w:cs="Arial"/>
                <w:b/>
                <w:bCs/>
                <w:sz w:val="20"/>
                <w:szCs w:val="20"/>
                <w:u w:val="single"/>
              </w:rPr>
              <w:t>CSE-KWG.A</w:t>
            </w:r>
            <w:r w:rsidRPr="0011214A">
              <w:rPr>
                <w:rFonts w:ascii="Arial" w:hAnsi="Arial" w:cs="Arial"/>
                <w:b/>
                <w:bCs/>
                <w:sz w:val="20"/>
                <w:szCs w:val="20"/>
              </w:rPr>
              <w:t>)</w:t>
            </w:r>
          </w:p>
        </w:tc>
        <w:tc>
          <w:tcPr>
            <w:tcW w:w="1546" w:type="dxa"/>
          </w:tcPr>
          <w:p w14:paraId="6E23E003" w14:textId="524CDAF1" w:rsidR="0011214A" w:rsidRPr="0011214A" w:rsidRDefault="00613C41" w:rsidP="00B90EA4">
            <w:pPr>
              <w:jc w:val="right"/>
              <w:rPr>
                <w:rFonts w:ascii="Arial" w:eastAsia="Times New Roman" w:hAnsi="Arial" w:cs="Arial"/>
                <w:b/>
                <w:sz w:val="20"/>
                <w:szCs w:val="20"/>
                <w:u w:val="single"/>
                <w:lang w:eastAsia="en-CA"/>
              </w:rPr>
            </w:pPr>
            <w:r>
              <w:rPr>
                <w:rFonts w:ascii="Arial" w:eastAsia="Times New Roman" w:hAnsi="Arial" w:cs="Arial"/>
                <w:b/>
                <w:sz w:val="20"/>
                <w:szCs w:val="20"/>
                <w:u w:val="single"/>
                <w:lang w:eastAsia="en-CA"/>
              </w:rPr>
              <w:t>20,347,131</w:t>
            </w:r>
          </w:p>
        </w:tc>
      </w:tr>
      <w:tr w:rsidR="0011214A" w14:paraId="530EE1C1" w14:textId="77777777" w:rsidTr="00F217B9">
        <w:trPr>
          <w:cantSplit/>
          <w:trHeight w:val="63"/>
        </w:trPr>
        <w:tc>
          <w:tcPr>
            <w:tcW w:w="1390" w:type="dxa"/>
            <w:vAlign w:val="center"/>
          </w:tcPr>
          <w:p w14:paraId="00BDC248" w14:textId="77777777" w:rsidR="0011214A" w:rsidRPr="0011214A" w:rsidRDefault="0011214A" w:rsidP="0011214A">
            <w:pPr>
              <w:jc w:val="both"/>
              <w:rPr>
                <w:rFonts w:ascii="Arial" w:hAnsi="Arial" w:cs="Arial"/>
                <w:sz w:val="20"/>
                <w:szCs w:val="20"/>
              </w:rPr>
            </w:pPr>
          </w:p>
        </w:tc>
        <w:tc>
          <w:tcPr>
            <w:tcW w:w="6278" w:type="dxa"/>
            <w:vAlign w:val="center"/>
          </w:tcPr>
          <w:p w14:paraId="0AD2F157" w14:textId="77777777" w:rsidR="0011214A" w:rsidRPr="0011214A" w:rsidRDefault="0011214A" w:rsidP="0011214A">
            <w:pPr>
              <w:jc w:val="right"/>
              <w:rPr>
                <w:rFonts w:ascii="Arial" w:hAnsi="Arial" w:cs="Arial"/>
                <w:bCs/>
                <w:i/>
                <w:sz w:val="20"/>
                <w:szCs w:val="20"/>
              </w:rPr>
            </w:pPr>
          </w:p>
        </w:tc>
        <w:tc>
          <w:tcPr>
            <w:tcW w:w="1546" w:type="dxa"/>
          </w:tcPr>
          <w:p w14:paraId="59815E63" w14:textId="77777777" w:rsidR="0011214A" w:rsidRPr="0011214A" w:rsidRDefault="0011214A" w:rsidP="0011214A">
            <w:pPr>
              <w:jc w:val="right"/>
              <w:rPr>
                <w:rFonts w:ascii="Arial" w:eastAsia="Times New Roman" w:hAnsi="Arial" w:cs="Arial"/>
                <w:b/>
                <w:sz w:val="20"/>
                <w:szCs w:val="20"/>
                <w:lang w:eastAsia="en-CA"/>
              </w:rPr>
            </w:pPr>
          </w:p>
        </w:tc>
      </w:tr>
    </w:tbl>
    <w:p w14:paraId="546CB204" w14:textId="77777777" w:rsidR="00452336" w:rsidRDefault="00452336" w:rsidP="00452336">
      <w:pPr>
        <w:jc w:val="center"/>
        <w:rPr>
          <w:rFonts w:ascii="Arial" w:eastAsia="Times New Roman" w:hAnsi="Arial" w:cs="Arial"/>
          <w:color w:val="000000"/>
          <w:sz w:val="21"/>
          <w:szCs w:val="21"/>
          <w:lang w:val="en-CA"/>
        </w:rPr>
      </w:pPr>
    </w:p>
    <w:p w14:paraId="68F63365" w14:textId="6865BD3B" w:rsidR="0081508A" w:rsidRDefault="0081508A" w:rsidP="00452336">
      <w:pPr>
        <w:jc w:val="center"/>
        <w:rPr>
          <w:rFonts w:ascii="Arial" w:eastAsia="Times New Roman" w:hAnsi="Arial" w:cs="Arial"/>
          <w:color w:val="000000"/>
          <w:sz w:val="21"/>
          <w:szCs w:val="21"/>
          <w:lang w:val="en-CA"/>
        </w:rPr>
      </w:pPr>
    </w:p>
    <w:p w14:paraId="2F5F5527" w14:textId="2C865982" w:rsidR="00A27337" w:rsidRDefault="00174881" w:rsidP="00A27337">
      <w:pPr>
        <w:spacing w:line="276" w:lineRule="auto"/>
        <w:jc w:val="center"/>
        <w:rPr>
          <w:rFonts w:ascii="Arial" w:hAnsi="Arial" w:cs="Arial"/>
          <w:b/>
          <w:bCs/>
          <w:sz w:val="22"/>
          <w:szCs w:val="22"/>
        </w:rPr>
      </w:pPr>
      <w:r>
        <w:rPr>
          <w:rFonts w:ascii="Arial" w:hAnsi="Arial" w:cs="Arial"/>
          <w:b/>
          <w:bCs/>
          <w:sz w:val="22"/>
          <w:szCs w:val="22"/>
        </w:rPr>
        <w:t xml:space="preserve">KWG Announces </w:t>
      </w:r>
      <w:r w:rsidR="00123640">
        <w:rPr>
          <w:rFonts w:ascii="Arial" w:hAnsi="Arial" w:cs="Arial"/>
          <w:b/>
          <w:bCs/>
          <w:sz w:val="22"/>
          <w:szCs w:val="22"/>
        </w:rPr>
        <w:t xml:space="preserve">Release from Escrow and </w:t>
      </w:r>
      <w:r>
        <w:rPr>
          <w:rFonts w:ascii="Arial" w:hAnsi="Arial" w:cs="Arial"/>
          <w:b/>
          <w:bCs/>
          <w:sz w:val="22"/>
          <w:szCs w:val="22"/>
        </w:rPr>
        <w:t>Closing of</w:t>
      </w:r>
      <w:r w:rsidRPr="00A614B9">
        <w:rPr>
          <w:rFonts w:ascii="Arial" w:hAnsi="Arial" w:cs="Arial"/>
          <w:b/>
          <w:bCs/>
          <w:sz w:val="22"/>
          <w:szCs w:val="22"/>
        </w:rPr>
        <w:t xml:space="preserve"> </w:t>
      </w:r>
      <w:r w:rsidR="00F44ABE">
        <w:rPr>
          <w:rFonts w:ascii="Arial" w:hAnsi="Arial" w:cs="Arial"/>
          <w:b/>
          <w:bCs/>
          <w:sz w:val="22"/>
          <w:szCs w:val="22"/>
        </w:rPr>
        <w:t xml:space="preserve">the Final </w:t>
      </w:r>
      <w:r>
        <w:rPr>
          <w:rFonts w:ascii="Arial" w:hAnsi="Arial" w:cs="Arial"/>
          <w:b/>
          <w:bCs/>
          <w:sz w:val="22"/>
          <w:szCs w:val="22"/>
        </w:rPr>
        <w:t>Tranche of i</w:t>
      </w:r>
      <w:r w:rsidRPr="00A614B9">
        <w:rPr>
          <w:rFonts w:ascii="Arial" w:hAnsi="Arial" w:cs="Arial"/>
          <w:b/>
          <w:bCs/>
          <w:sz w:val="22"/>
          <w:szCs w:val="22"/>
        </w:rPr>
        <w:t>ts Convertible Debenture Private Placement</w:t>
      </w:r>
      <w:r>
        <w:rPr>
          <w:rFonts w:ascii="Arial" w:hAnsi="Arial" w:cs="Arial"/>
          <w:b/>
          <w:bCs/>
          <w:sz w:val="22"/>
          <w:szCs w:val="22"/>
        </w:rPr>
        <w:t xml:space="preserve"> </w:t>
      </w:r>
    </w:p>
    <w:p w14:paraId="021A8F91" w14:textId="77777777" w:rsidR="00690B84" w:rsidRPr="00F43E50" w:rsidRDefault="00690B84" w:rsidP="00A27337">
      <w:pPr>
        <w:spacing w:line="276" w:lineRule="auto"/>
        <w:jc w:val="center"/>
        <w:rPr>
          <w:rFonts w:ascii="Arial" w:hAnsi="Arial" w:cs="Arial"/>
          <w:b/>
          <w:bCs/>
          <w:sz w:val="22"/>
          <w:szCs w:val="22"/>
        </w:rPr>
      </w:pPr>
    </w:p>
    <w:p w14:paraId="017E5709" w14:textId="4130DFA5" w:rsidR="00F70BCD" w:rsidRDefault="00A27337" w:rsidP="00EB056B">
      <w:pPr>
        <w:spacing w:after="200"/>
        <w:jc w:val="both"/>
        <w:rPr>
          <w:rFonts w:ascii="Arial" w:hAnsi="Arial" w:cs="Arial"/>
          <w:bCs/>
          <w:iCs/>
          <w:sz w:val="22"/>
          <w:szCs w:val="22"/>
          <w:lang w:val="en-CA"/>
        </w:rPr>
      </w:pPr>
      <w:proofErr w:type="gramStart"/>
      <w:r w:rsidRPr="00EC6B9F">
        <w:rPr>
          <w:rFonts w:ascii="Arial" w:hAnsi="Arial" w:cs="Arial"/>
          <w:sz w:val="22"/>
          <w:szCs w:val="22"/>
        </w:rPr>
        <w:t xml:space="preserve">Toronto, Canada, </w:t>
      </w:r>
      <w:r w:rsidR="00123640">
        <w:rPr>
          <w:rFonts w:ascii="Arial" w:hAnsi="Arial" w:cs="Arial"/>
          <w:sz w:val="22"/>
          <w:szCs w:val="22"/>
        </w:rPr>
        <w:t>June 21</w:t>
      </w:r>
      <w:r w:rsidR="00A85AA8">
        <w:rPr>
          <w:rFonts w:ascii="Arial" w:hAnsi="Arial" w:cs="Arial"/>
          <w:sz w:val="22"/>
          <w:szCs w:val="22"/>
        </w:rPr>
        <w:t>, 2023</w:t>
      </w:r>
      <w:r w:rsidRPr="00EC6B9F">
        <w:rPr>
          <w:rFonts w:ascii="Arial" w:hAnsi="Arial" w:cs="Arial"/>
          <w:sz w:val="22"/>
          <w:szCs w:val="22"/>
        </w:rPr>
        <w:t xml:space="preserve"> - </w:t>
      </w:r>
      <w:r w:rsidRPr="00EC6B9F">
        <w:rPr>
          <w:rFonts w:ascii="Arial" w:hAnsi="Arial" w:cs="Arial"/>
          <w:b/>
          <w:bCs/>
          <w:iCs/>
          <w:sz w:val="22"/>
          <w:szCs w:val="22"/>
        </w:rPr>
        <w:t xml:space="preserve">KWG Resources Inc. </w:t>
      </w:r>
      <w:r>
        <w:rPr>
          <w:rFonts w:ascii="Arial" w:hAnsi="Arial" w:cs="Arial"/>
          <w:b/>
          <w:bCs/>
          <w:iCs/>
          <w:sz w:val="22"/>
          <w:szCs w:val="22"/>
        </w:rPr>
        <w:t xml:space="preserve">(“KWG” </w:t>
      </w:r>
      <w:r w:rsidRPr="00A30BF8">
        <w:rPr>
          <w:rFonts w:ascii="Arial" w:hAnsi="Arial" w:cs="Arial"/>
          <w:bCs/>
          <w:iCs/>
          <w:sz w:val="22"/>
          <w:szCs w:val="22"/>
        </w:rPr>
        <w:t>or the</w:t>
      </w:r>
      <w:r>
        <w:rPr>
          <w:rFonts w:ascii="Arial" w:hAnsi="Arial" w:cs="Arial"/>
          <w:b/>
          <w:bCs/>
          <w:iCs/>
          <w:sz w:val="22"/>
          <w:szCs w:val="22"/>
        </w:rPr>
        <w:t xml:space="preserve"> “Company”) </w:t>
      </w:r>
      <w:r w:rsidRPr="00EC6B9F">
        <w:rPr>
          <w:rFonts w:ascii="Arial" w:hAnsi="Arial" w:cs="Arial"/>
          <w:bCs/>
          <w:iCs/>
          <w:sz w:val="22"/>
          <w:szCs w:val="22"/>
        </w:rPr>
        <w:t xml:space="preserve">(CSE: KWG; KWG.A) </w:t>
      </w:r>
      <w:r w:rsidR="00A614B9" w:rsidRPr="00A614B9">
        <w:rPr>
          <w:rFonts w:ascii="Arial" w:hAnsi="Arial" w:cs="Arial"/>
          <w:bCs/>
          <w:iCs/>
          <w:sz w:val="22"/>
          <w:szCs w:val="22"/>
          <w:lang w:val="en-CA"/>
        </w:rPr>
        <w:t xml:space="preserve">is pleased to announce </w:t>
      </w:r>
      <w:r w:rsidR="00572F14">
        <w:rPr>
          <w:rFonts w:ascii="Arial" w:hAnsi="Arial" w:cs="Arial"/>
          <w:bCs/>
          <w:iCs/>
          <w:sz w:val="22"/>
          <w:szCs w:val="22"/>
          <w:lang w:val="en-CA"/>
        </w:rPr>
        <w:t>the</w:t>
      </w:r>
      <w:r w:rsidR="00AB3AEC">
        <w:rPr>
          <w:rFonts w:ascii="Arial" w:hAnsi="Arial" w:cs="Arial"/>
          <w:bCs/>
          <w:iCs/>
          <w:sz w:val="22"/>
          <w:szCs w:val="22"/>
          <w:lang w:val="en-CA"/>
        </w:rPr>
        <w:t xml:space="preserve"> release today of an aggregate of $1,300,000 of debentures upon receipt of necessary consents (</w:t>
      </w:r>
      <w:r w:rsidR="00AB3AEC" w:rsidRPr="00A614B9">
        <w:rPr>
          <w:rFonts w:ascii="Arial" w:hAnsi="Arial" w:cs="Arial"/>
          <w:bCs/>
          <w:i/>
          <w:iCs/>
          <w:sz w:val="22"/>
          <w:szCs w:val="22"/>
          <w:lang w:val="en-CA"/>
        </w:rPr>
        <w:t xml:space="preserve">see news release dated </w:t>
      </w:r>
      <w:r w:rsidR="00AB3AEC">
        <w:rPr>
          <w:rFonts w:ascii="Arial" w:hAnsi="Arial" w:cs="Arial"/>
          <w:bCs/>
          <w:i/>
          <w:iCs/>
          <w:sz w:val="22"/>
          <w:szCs w:val="22"/>
          <w:lang w:val="en-CA"/>
        </w:rPr>
        <w:t>May 26, 2023)</w:t>
      </w:r>
      <w:r w:rsidR="00AB3AEC">
        <w:rPr>
          <w:rFonts w:ascii="Arial" w:hAnsi="Arial" w:cs="Arial"/>
          <w:bCs/>
          <w:iCs/>
          <w:sz w:val="22"/>
          <w:szCs w:val="22"/>
          <w:lang w:val="en-CA"/>
        </w:rPr>
        <w:t xml:space="preserve"> and</w:t>
      </w:r>
      <w:r w:rsidR="00572F14">
        <w:rPr>
          <w:rFonts w:ascii="Arial" w:hAnsi="Arial" w:cs="Arial"/>
          <w:bCs/>
          <w:iCs/>
          <w:sz w:val="22"/>
          <w:szCs w:val="22"/>
          <w:lang w:val="en-CA"/>
        </w:rPr>
        <w:t xml:space="preserve"> </w:t>
      </w:r>
      <w:r w:rsidR="00A614B9" w:rsidRPr="00A614B9">
        <w:rPr>
          <w:rFonts w:ascii="Arial" w:hAnsi="Arial" w:cs="Arial"/>
          <w:bCs/>
          <w:iCs/>
          <w:sz w:val="22"/>
          <w:szCs w:val="22"/>
          <w:lang w:val="en-CA"/>
        </w:rPr>
        <w:t xml:space="preserve">closing </w:t>
      </w:r>
      <w:r w:rsidR="00A614B9">
        <w:rPr>
          <w:rFonts w:ascii="Arial" w:hAnsi="Arial" w:cs="Arial"/>
          <w:bCs/>
          <w:iCs/>
          <w:sz w:val="22"/>
          <w:szCs w:val="22"/>
          <w:lang w:val="en-CA"/>
        </w:rPr>
        <w:t>today</w:t>
      </w:r>
      <w:r w:rsidR="00A614B9" w:rsidRPr="00A614B9">
        <w:rPr>
          <w:rFonts w:ascii="Arial" w:hAnsi="Arial" w:cs="Arial"/>
          <w:bCs/>
          <w:iCs/>
          <w:sz w:val="22"/>
          <w:szCs w:val="22"/>
          <w:lang w:val="en-CA"/>
        </w:rPr>
        <w:t xml:space="preserve"> of </w:t>
      </w:r>
      <w:r w:rsidR="00F44ABE">
        <w:rPr>
          <w:rFonts w:ascii="Arial" w:hAnsi="Arial" w:cs="Arial"/>
          <w:bCs/>
          <w:iCs/>
          <w:sz w:val="22"/>
          <w:szCs w:val="22"/>
          <w:lang w:val="en-CA"/>
        </w:rPr>
        <w:t>the final</w:t>
      </w:r>
      <w:r w:rsidR="00564ADF">
        <w:rPr>
          <w:rFonts w:ascii="Arial" w:hAnsi="Arial" w:cs="Arial"/>
          <w:bCs/>
          <w:iCs/>
          <w:sz w:val="22"/>
          <w:szCs w:val="22"/>
          <w:lang w:val="en-CA"/>
        </w:rPr>
        <w:t xml:space="preserve"> </w:t>
      </w:r>
      <w:r w:rsidR="00A614B9" w:rsidRPr="00A614B9">
        <w:rPr>
          <w:rFonts w:ascii="Arial" w:hAnsi="Arial" w:cs="Arial"/>
          <w:bCs/>
          <w:iCs/>
          <w:sz w:val="22"/>
          <w:szCs w:val="22"/>
          <w:lang w:val="en-CA"/>
        </w:rPr>
        <w:t xml:space="preserve">tranche of </w:t>
      </w:r>
      <w:r w:rsidR="00F70BCD" w:rsidRPr="00A614B9">
        <w:rPr>
          <w:rFonts w:ascii="Arial" w:hAnsi="Arial" w:cs="Arial"/>
          <w:bCs/>
          <w:iCs/>
          <w:sz w:val="22"/>
          <w:szCs w:val="22"/>
          <w:lang w:val="en-CA"/>
        </w:rPr>
        <w:t>its</w:t>
      </w:r>
      <w:r w:rsidR="00F70BCD">
        <w:rPr>
          <w:rFonts w:ascii="Arial" w:hAnsi="Arial" w:cs="Arial"/>
          <w:bCs/>
          <w:iCs/>
          <w:sz w:val="22"/>
          <w:szCs w:val="22"/>
          <w:lang w:val="en-CA"/>
        </w:rPr>
        <w:t xml:space="preserve"> previously announced</w:t>
      </w:r>
      <w:r w:rsidR="00F70BCD" w:rsidRPr="00A614B9">
        <w:rPr>
          <w:rFonts w:ascii="Arial" w:hAnsi="Arial" w:cs="Arial"/>
          <w:bCs/>
          <w:iCs/>
          <w:sz w:val="22"/>
          <w:szCs w:val="22"/>
          <w:lang w:val="en-CA"/>
        </w:rPr>
        <w:t xml:space="preserve"> private placement</w:t>
      </w:r>
      <w:r w:rsidR="00A614B9" w:rsidRPr="00A614B9">
        <w:rPr>
          <w:rFonts w:ascii="Arial" w:hAnsi="Arial" w:cs="Arial"/>
          <w:bCs/>
          <w:iCs/>
          <w:sz w:val="22"/>
          <w:szCs w:val="22"/>
          <w:lang w:val="en-CA"/>
        </w:rPr>
        <w:t xml:space="preserve"> (the “</w:t>
      </w:r>
      <w:r w:rsidR="00A614B9" w:rsidRPr="00A614B9">
        <w:rPr>
          <w:rFonts w:ascii="Arial" w:hAnsi="Arial" w:cs="Arial"/>
          <w:b/>
          <w:bCs/>
          <w:iCs/>
          <w:sz w:val="22"/>
          <w:szCs w:val="22"/>
          <w:lang w:val="en-CA"/>
        </w:rPr>
        <w:t>Private Placement</w:t>
      </w:r>
      <w:r w:rsidR="00A614B9" w:rsidRPr="00A614B9">
        <w:rPr>
          <w:rFonts w:ascii="Arial" w:hAnsi="Arial" w:cs="Arial"/>
          <w:bCs/>
          <w:iCs/>
          <w:sz w:val="22"/>
          <w:szCs w:val="22"/>
          <w:lang w:val="en-CA"/>
        </w:rPr>
        <w:t>”) of convertible debentures</w:t>
      </w:r>
      <w:r w:rsidR="00E215E5">
        <w:rPr>
          <w:rFonts w:ascii="Arial" w:hAnsi="Arial" w:cs="Arial"/>
          <w:bCs/>
          <w:iCs/>
          <w:sz w:val="22"/>
          <w:szCs w:val="22"/>
          <w:lang w:val="en-CA"/>
        </w:rPr>
        <w:t xml:space="preserve"> (the “</w:t>
      </w:r>
      <w:r w:rsidR="00E215E5" w:rsidRPr="006425DC">
        <w:rPr>
          <w:rFonts w:ascii="Arial" w:hAnsi="Arial" w:cs="Arial"/>
          <w:b/>
          <w:bCs/>
          <w:iCs/>
          <w:sz w:val="22"/>
          <w:szCs w:val="22"/>
          <w:lang w:val="en-CA"/>
        </w:rPr>
        <w:t>Debentures</w:t>
      </w:r>
      <w:r w:rsidR="00E215E5">
        <w:rPr>
          <w:rFonts w:ascii="Arial" w:hAnsi="Arial" w:cs="Arial"/>
          <w:bCs/>
          <w:iCs/>
          <w:sz w:val="22"/>
          <w:szCs w:val="22"/>
          <w:lang w:val="en-CA"/>
        </w:rPr>
        <w:t>”)</w:t>
      </w:r>
      <w:r w:rsidR="00F70BCD">
        <w:rPr>
          <w:rFonts w:ascii="Arial" w:hAnsi="Arial" w:cs="Arial"/>
          <w:bCs/>
          <w:iCs/>
          <w:sz w:val="22"/>
          <w:szCs w:val="22"/>
          <w:lang w:val="en-CA"/>
        </w:rPr>
        <w:t xml:space="preserve"> (</w:t>
      </w:r>
      <w:r w:rsidR="00F70BCD" w:rsidRPr="00A614B9">
        <w:rPr>
          <w:rFonts w:ascii="Arial" w:hAnsi="Arial" w:cs="Arial"/>
          <w:bCs/>
          <w:i/>
          <w:iCs/>
          <w:sz w:val="22"/>
          <w:szCs w:val="22"/>
          <w:lang w:val="en-CA"/>
        </w:rPr>
        <w:t xml:space="preserve">see news release dated </w:t>
      </w:r>
      <w:r w:rsidR="00F70BCD">
        <w:rPr>
          <w:rFonts w:ascii="Arial" w:hAnsi="Arial" w:cs="Arial"/>
          <w:bCs/>
          <w:i/>
          <w:iCs/>
          <w:sz w:val="22"/>
          <w:szCs w:val="22"/>
          <w:lang w:val="en-CA"/>
        </w:rPr>
        <w:t>April 24, 2023)</w:t>
      </w:r>
      <w:r w:rsidR="00F70BCD" w:rsidRPr="00A614B9">
        <w:rPr>
          <w:rFonts w:ascii="Arial" w:hAnsi="Arial" w:cs="Arial"/>
          <w:bCs/>
          <w:iCs/>
          <w:sz w:val="22"/>
          <w:szCs w:val="22"/>
          <w:lang w:val="en-CA"/>
        </w:rPr>
        <w:t xml:space="preserve"> comprised of an aggregate of $</w:t>
      </w:r>
      <w:r w:rsidR="00F70BCD">
        <w:rPr>
          <w:rFonts w:ascii="Arial" w:hAnsi="Arial" w:cs="Arial"/>
          <w:bCs/>
          <w:iCs/>
          <w:sz w:val="22"/>
          <w:szCs w:val="22"/>
          <w:lang w:val="en-CA"/>
        </w:rPr>
        <w:t>1</w:t>
      </w:r>
      <w:r w:rsidR="00AB3AEC">
        <w:rPr>
          <w:rFonts w:ascii="Arial" w:hAnsi="Arial" w:cs="Arial"/>
          <w:bCs/>
          <w:iCs/>
          <w:sz w:val="22"/>
          <w:szCs w:val="22"/>
          <w:lang w:val="en-CA"/>
        </w:rPr>
        <w:t>5</w:t>
      </w:r>
      <w:r w:rsidR="00F70BCD">
        <w:rPr>
          <w:rFonts w:ascii="Arial" w:hAnsi="Arial" w:cs="Arial"/>
          <w:bCs/>
          <w:iCs/>
          <w:sz w:val="22"/>
          <w:szCs w:val="22"/>
          <w:lang w:val="en-CA"/>
        </w:rPr>
        <w:t>,000</w:t>
      </w:r>
      <w:r w:rsidR="00F70BCD" w:rsidRPr="00A614B9">
        <w:rPr>
          <w:rFonts w:ascii="Arial" w:hAnsi="Arial" w:cs="Arial"/>
          <w:bCs/>
          <w:iCs/>
          <w:sz w:val="22"/>
          <w:szCs w:val="22"/>
          <w:lang w:val="en-CA"/>
        </w:rPr>
        <w:t xml:space="preserve"> of debentures</w:t>
      </w:r>
      <w:r w:rsidR="00F70BCD">
        <w:rPr>
          <w:rFonts w:ascii="Arial" w:hAnsi="Arial" w:cs="Arial"/>
          <w:bCs/>
          <w:iCs/>
          <w:sz w:val="22"/>
          <w:szCs w:val="22"/>
          <w:lang w:val="en-CA"/>
        </w:rPr>
        <w:t xml:space="preserve">, </w:t>
      </w:r>
      <w:r w:rsidR="00F70BCD" w:rsidRPr="00E73D26">
        <w:rPr>
          <w:rFonts w:ascii="Arial" w:hAnsi="Arial" w:cs="Arial"/>
          <w:bCs/>
          <w:iCs/>
          <w:sz w:val="22"/>
          <w:szCs w:val="22"/>
          <w:lang w:val="en-CA"/>
        </w:rPr>
        <w:t>bringing the total principal amount of deb</w:t>
      </w:r>
      <w:r w:rsidR="00AB3AEC">
        <w:rPr>
          <w:rFonts w:ascii="Arial" w:hAnsi="Arial" w:cs="Arial"/>
          <w:bCs/>
          <w:iCs/>
          <w:sz w:val="22"/>
          <w:szCs w:val="22"/>
          <w:lang w:val="en-CA"/>
        </w:rPr>
        <w:t xml:space="preserve">entures issued under </w:t>
      </w:r>
      <w:r w:rsidR="00F44ABE">
        <w:rPr>
          <w:rFonts w:ascii="Arial" w:hAnsi="Arial" w:cs="Arial"/>
          <w:bCs/>
          <w:iCs/>
          <w:sz w:val="22"/>
          <w:szCs w:val="22"/>
          <w:lang w:val="en-CA"/>
        </w:rPr>
        <w:t>all</w:t>
      </w:r>
      <w:r w:rsidR="00F70BCD" w:rsidRPr="00E73D26">
        <w:rPr>
          <w:rFonts w:ascii="Arial" w:hAnsi="Arial" w:cs="Arial"/>
          <w:bCs/>
          <w:iCs/>
          <w:sz w:val="22"/>
          <w:szCs w:val="22"/>
          <w:lang w:val="en-CA"/>
        </w:rPr>
        <w:t xml:space="preserve"> tranches of the Private Placement to $</w:t>
      </w:r>
      <w:r w:rsidR="00AB3AEC">
        <w:rPr>
          <w:rFonts w:ascii="Arial" w:hAnsi="Arial" w:cs="Arial"/>
          <w:bCs/>
          <w:iCs/>
          <w:sz w:val="22"/>
          <w:szCs w:val="22"/>
          <w:lang w:val="en-CA"/>
        </w:rPr>
        <w:t>2,388</w:t>
      </w:r>
      <w:r w:rsidR="00F70BCD">
        <w:rPr>
          <w:rFonts w:ascii="Arial" w:hAnsi="Arial" w:cs="Arial"/>
          <w:bCs/>
          <w:iCs/>
          <w:sz w:val="22"/>
          <w:szCs w:val="22"/>
          <w:lang w:val="en-CA"/>
        </w:rPr>
        <w:t>,590</w:t>
      </w:r>
      <w:r w:rsidR="00F70BCD" w:rsidRPr="00E73D26">
        <w:rPr>
          <w:rFonts w:ascii="Arial" w:hAnsi="Arial" w:cs="Arial"/>
          <w:bCs/>
          <w:iCs/>
          <w:sz w:val="22"/>
          <w:szCs w:val="22"/>
          <w:lang w:val="en-CA"/>
        </w:rPr>
        <w:t>.</w:t>
      </w:r>
      <w:proofErr w:type="gramEnd"/>
      <w:r w:rsidR="00F70BCD">
        <w:rPr>
          <w:rFonts w:ascii="Arial" w:hAnsi="Arial" w:cs="Arial"/>
          <w:bCs/>
          <w:iCs/>
          <w:sz w:val="22"/>
          <w:szCs w:val="22"/>
          <w:lang w:val="en-CA"/>
        </w:rPr>
        <w:t xml:space="preserve">  </w:t>
      </w:r>
      <w:r w:rsidR="00AB3AEC">
        <w:rPr>
          <w:rFonts w:ascii="Arial" w:hAnsi="Arial" w:cs="Arial"/>
          <w:bCs/>
          <w:iCs/>
          <w:sz w:val="22"/>
          <w:szCs w:val="22"/>
          <w:lang w:val="en-CA"/>
        </w:rPr>
        <w:t xml:space="preserve"> </w:t>
      </w:r>
    </w:p>
    <w:p w14:paraId="2F45E2C7" w14:textId="428316DB" w:rsidR="00EB056B" w:rsidRDefault="00A614B9" w:rsidP="00EB056B">
      <w:pPr>
        <w:spacing w:after="200"/>
        <w:jc w:val="both"/>
        <w:rPr>
          <w:rFonts w:ascii="Arial" w:hAnsi="Arial" w:cs="Arial"/>
          <w:bCs/>
          <w:iCs/>
          <w:sz w:val="22"/>
          <w:szCs w:val="22"/>
          <w:lang w:val="en-CA"/>
        </w:rPr>
      </w:pPr>
      <w:r w:rsidRPr="00A614B9">
        <w:rPr>
          <w:rFonts w:ascii="Arial" w:hAnsi="Arial" w:cs="Arial"/>
          <w:bCs/>
          <w:iCs/>
          <w:sz w:val="22"/>
          <w:szCs w:val="22"/>
          <w:lang w:val="en-CA"/>
        </w:rPr>
        <w:t xml:space="preserve">The </w:t>
      </w:r>
      <w:r w:rsidR="00E215E5">
        <w:rPr>
          <w:rFonts w:ascii="Arial" w:hAnsi="Arial" w:cs="Arial"/>
          <w:bCs/>
          <w:iCs/>
          <w:sz w:val="22"/>
          <w:szCs w:val="22"/>
          <w:lang w:val="en-CA"/>
        </w:rPr>
        <w:t>D</w:t>
      </w:r>
      <w:r w:rsidRPr="00A614B9">
        <w:rPr>
          <w:rFonts w:ascii="Arial" w:hAnsi="Arial" w:cs="Arial"/>
          <w:bCs/>
          <w:iCs/>
          <w:sz w:val="22"/>
          <w:szCs w:val="22"/>
          <w:lang w:val="en-CA"/>
        </w:rPr>
        <w:t>ebentures are convertible</w:t>
      </w:r>
      <w:r>
        <w:rPr>
          <w:rFonts w:ascii="Arial" w:hAnsi="Arial" w:cs="Arial"/>
          <w:bCs/>
          <w:iCs/>
          <w:sz w:val="22"/>
          <w:szCs w:val="22"/>
          <w:lang w:val="en-CA"/>
        </w:rPr>
        <w:t xml:space="preserve"> </w:t>
      </w:r>
      <w:r w:rsidRPr="00A614B9">
        <w:rPr>
          <w:rFonts w:ascii="Arial" w:hAnsi="Arial" w:cs="Arial"/>
          <w:bCs/>
          <w:iCs/>
          <w:sz w:val="22"/>
          <w:szCs w:val="22"/>
          <w:lang w:val="en-CA"/>
        </w:rPr>
        <w:t>into units</w:t>
      </w:r>
      <w:r w:rsidRPr="00A614B9">
        <w:rPr>
          <w:rFonts w:ascii="Arial" w:hAnsi="Arial" w:cs="Arial"/>
          <w:bCs/>
          <w:iCs/>
          <w:sz w:val="22"/>
          <w:szCs w:val="22"/>
        </w:rPr>
        <w:t xml:space="preserve"> </w:t>
      </w:r>
      <w:r w:rsidRPr="00A614B9">
        <w:rPr>
          <w:rFonts w:ascii="Arial" w:hAnsi="Arial" w:cs="Arial"/>
          <w:bCs/>
          <w:iCs/>
          <w:sz w:val="22"/>
          <w:szCs w:val="22"/>
          <w:lang w:val="en-CA"/>
        </w:rPr>
        <w:t>(each a “</w:t>
      </w:r>
      <w:r w:rsidRPr="00A614B9">
        <w:rPr>
          <w:rFonts w:ascii="Arial" w:hAnsi="Arial" w:cs="Arial"/>
          <w:b/>
          <w:bCs/>
          <w:iCs/>
          <w:sz w:val="22"/>
          <w:szCs w:val="22"/>
          <w:lang w:val="en-CA"/>
        </w:rPr>
        <w:t>Unit</w:t>
      </w:r>
      <w:r w:rsidRPr="00A614B9">
        <w:rPr>
          <w:rFonts w:ascii="Arial" w:hAnsi="Arial" w:cs="Arial"/>
          <w:bCs/>
          <w:iCs/>
          <w:sz w:val="22"/>
          <w:szCs w:val="22"/>
          <w:lang w:val="en-CA"/>
        </w:rPr>
        <w:t>”) with a deemed value of $</w:t>
      </w:r>
      <w:r w:rsidR="00A85AA8">
        <w:rPr>
          <w:rFonts w:ascii="Arial" w:hAnsi="Arial" w:cs="Arial"/>
          <w:bCs/>
          <w:iCs/>
          <w:sz w:val="22"/>
          <w:szCs w:val="22"/>
          <w:lang w:val="en-CA"/>
        </w:rPr>
        <w:t>3.00</w:t>
      </w:r>
      <w:r w:rsidRPr="00A614B9">
        <w:rPr>
          <w:rFonts w:ascii="Arial" w:hAnsi="Arial" w:cs="Arial"/>
          <w:bCs/>
          <w:iCs/>
          <w:sz w:val="22"/>
          <w:szCs w:val="22"/>
          <w:lang w:val="en-CA"/>
        </w:rPr>
        <w:t xml:space="preserve"> per Unit</w:t>
      </w:r>
      <w:r w:rsidR="00A85AA8">
        <w:rPr>
          <w:rFonts w:ascii="Arial" w:hAnsi="Arial" w:cs="Arial"/>
          <w:bCs/>
          <w:iCs/>
          <w:sz w:val="22"/>
          <w:szCs w:val="22"/>
          <w:lang w:val="en-CA"/>
        </w:rPr>
        <w:t xml:space="preserve"> at </w:t>
      </w:r>
      <w:r w:rsidR="00A85AA8" w:rsidRPr="00A85AA8">
        <w:rPr>
          <w:rFonts w:ascii="Arial" w:hAnsi="Arial" w:cs="Arial"/>
          <w:bCs/>
          <w:iCs/>
          <w:sz w:val="22"/>
          <w:szCs w:val="22"/>
          <w:lang w:val="en-CA"/>
        </w:rPr>
        <w:t xml:space="preserve">the holder’s option at any time prior to payment in cash.  The Debentures mature on April 24, 2026 </w:t>
      </w:r>
      <w:r w:rsidR="00E215E5">
        <w:rPr>
          <w:rFonts w:ascii="Arial" w:hAnsi="Arial" w:cs="Arial"/>
          <w:bCs/>
          <w:iCs/>
          <w:sz w:val="22"/>
          <w:szCs w:val="22"/>
          <w:lang w:val="en-CA"/>
        </w:rPr>
        <w:t>(the “</w:t>
      </w:r>
      <w:r w:rsidR="00E215E5" w:rsidRPr="00291071">
        <w:rPr>
          <w:rFonts w:ascii="Arial" w:hAnsi="Arial" w:cs="Arial"/>
          <w:b/>
          <w:bCs/>
          <w:iCs/>
          <w:sz w:val="22"/>
          <w:szCs w:val="22"/>
          <w:lang w:val="en-CA"/>
        </w:rPr>
        <w:t>Maturity Date</w:t>
      </w:r>
      <w:r w:rsidR="00E215E5">
        <w:rPr>
          <w:rFonts w:ascii="Arial" w:hAnsi="Arial" w:cs="Arial"/>
          <w:bCs/>
          <w:iCs/>
          <w:sz w:val="22"/>
          <w:szCs w:val="22"/>
          <w:lang w:val="en-CA"/>
        </w:rPr>
        <w:t xml:space="preserve">”) </w:t>
      </w:r>
      <w:r w:rsidR="00A85AA8" w:rsidRPr="00A85AA8">
        <w:rPr>
          <w:rFonts w:ascii="Arial" w:hAnsi="Arial" w:cs="Arial"/>
          <w:bCs/>
          <w:iCs/>
          <w:sz w:val="22"/>
          <w:szCs w:val="22"/>
          <w:lang w:val="en-CA"/>
        </w:rPr>
        <w:t xml:space="preserve">and bear interest at 5% per annum, accruing daily, compounding annually on </w:t>
      </w:r>
      <w:r w:rsidR="00B33445">
        <w:rPr>
          <w:rFonts w:ascii="Arial" w:hAnsi="Arial" w:cs="Arial"/>
          <w:bCs/>
          <w:iCs/>
          <w:sz w:val="22"/>
          <w:szCs w:val="22"/>
          <w:lang w:val="en-CA"/>
        </w:rPr>
        <w:t xml:space="preserve">April 24 of each year, the anniversary of </w:t>
      </w:r>
      <w:r w:rsidR="00A85AA8" w:rsidRPr="00A85AA8">
        <w:rPr>
          <w:rFonts w:ascii="Arial" w:hAnsi="Arial" w:cs="Arial"/>
          <w:bCs/>
          <w:iCs/>
          <w:sz w:val="22"/>
          <w:szCs w:val="22"/>
          <w:lang w:val="en-CA"/>
        </w:rPr>
        <w:t xml:space="preserve">the date on which the first Debenture of the Series CD-2023 </w:t>
      </w:r>
      <w:r w:rsidR="00B33445">
        <w:rPr>
          <w:rFonts w:ascii="Arial" w:hAnsi="Arial" w:cs="Arial"/>
          <w:bCs/>
          <w:iCs/>
          <w:sz w:val="22"/>
          <w:szCs w:val="22"/>
          <w:lang w:val="en-CA"/>
        </w:rPr>
        <w:t>Debentures wa</w:t>
      </w:r>
      <w:r w:rsidR="00A85AA8" w:rsidRPr="00A85AA8">
        <w:rPr>
          <w:rFonts w:ascii="Arial" w:hAnsi="Arial" w:cs="Arial"/>
          <w:bCs/>
          <w:iCs/>
          <w:sz w:val="22"/>
          <w:szCs w:val="22"/>
          <w:lang w:val="en-CA"/>
        </w:rPr>
        <w:t>s issued (the “</w:t>
      </w:r>
      <w:r w:rsidR="00A85AA8" w:rsidRPr="006425DC">
        <w:rPr>
          <w:rFonts w:ascii="Arial" w:hAnsi="Arial" w:cs="Arial"/>
          <w:b/>
          <w:bCs/>
          <w:iCs/>
          <w:sz w:val="22"/>
          <w:szCs w:val="22"/>
          <w:lang w:val="en-CA"/>
        </w:rPr>
        <w:t>Date of First Issuance</w:t>
      </w:r>
      <w:r w:rsidR="00A85AA8" w:rsidRPr="00A85AA8">
        <w:rPr>
          <w:rFonts w:ascii="Arial" w:hAnsi="Arial" w:cs="Arial"/>
          <w:bCs/>
          <w:iCs/>
          <w:sz w:val="22"/>
          <w:szCs w:val="22"/>
          <w:lang w:val="en-CA"/>
        </w:rPr>
        <w:t>”) and payable on each anniversary of the Date of First Issuance and at the Mat</w:t>
      </w:r>
      <w:r w:rsidR="00B33445">
        <w:rPr>
          <w:rFonts w:ascii="Arial" w:hAnsi="Arial" w:cs="Arial"/>
          <w:bCs/>
          <w:iCs/>
          <w:sz w:val="22"/>
          <w:szCs w:val="22"/>
          <w:lang w:val="en-CA"/>
        </w:rPr>
        <w:t>urity Date or conversion.  P</w:t>
      </w:r>
      <w:r w:rsidR="00A85AA8" w:rsidRPr="00A85AA8">
        <w:rPr>
          <w:rFonts w:ascii="Arial" w:hAnsi="Arial" w:cs="Arial"/>
          <w:bCs/>
          <w:iCs/>
          <w:sz w:val="22"/>
          <w:szCs w:val="22"/>
          <w:lang w:val="en-CA"/>
        </w:rPr>
        <w:t>ayment</w:t>
      </w:r>
      <w:r w:rsidR="00B33445">
        <w:rPr>
          <w:rFonts w:ascii="Arial" w:hAnsi="Arial" w:cs="Arial"/>
          <w:bCs/>
          <w:iCs/>
          <w:sz w:val="22"/>
          <w:szCs w:val="22"/>
          <w:lang w:val="en-CA"/>
        </w:rPr>
        <w:t xml:space="preserve">s of interest may be made </w:t>
      </w:r>
      <w:r w:rsidR="00A85AA8" w:rsidRPr="00A85AA8">
        <w:rPr>
          <w:rFonts w:ascii="Arial" w:hAnsi="Arial" w:cs="Arial"/>
          <w:bCs/>
          <w:iCs/>
          <w:sz w:val="22"/>
          <w:szCs w:val="22"/>
          <w:lang w:val="en-CA"/>
        </w:rPr>
        <w:t xml:space="preserve">at the </w:t>
      </w:r>
      <w:r w:rsidR="00E215E5">
        <w:rPr>
          <w:rFonts w:ascii="Arial" w:hAnsi="Arial" w:cs="Arial"/>
          <w:bCs/>
          <w:iCs/>
          <w:sz w:val="22"/>
          <w:szCs w:val="22"/>
          <w:lang w:val="en-CA"/>
        </w:rPr>
        <w:t>Company</w:t>
      </w:r>
      <w:r w:rsidR="00B33445">
        <w:rPr>
          <w:rFonts w:ascii="Arial" w:hAnsi="Arial" w:cs="Arial"/>
          <w:bCs/>
          <w:iCs/>
          <w:sz w:val="22"/>
          <w:szCs w:val="22"/>
          <w:lang w:val="en-CA"/>
        </w:rPr>
        <w:t>’s option either (i)</w:t>
      </w:r>
      <w:r w:rsidR="00A85AA8" w:rsidRPr="00A85AA8">
        <w:rPr>
          <w:rFonts w:ascii="Arial" w:hAnsi="Arial" w:cs="Arial"/>
          <w:bCs/>
          <w:iCs/>
          <w:sz w:val="22"/>
          <w:szCs w:val="22"/>
          <w:lang w:val="en-CA"/>
        </w:rPr>
        <w:t xml:space="preserve"> by payment in cash (other than in the event of a conversion) or (ii) by the issuance of Units at a deemed value of $3.00 per Unit.  Each Unit will be comprised of one (1) KWG.A multiple-voting share and one (1) share purchase warrant enabling its holder to acquire one further KWG.A multiple-voting share from treasury upon payment of $3.00 exercisable at any time on or before the earlier of (i) the third anniversary of the </w:t>
      </w:r>
      <w:r w:rsidR="00E215E5">
        <w:rPr>
          <w:rFonts w:ascii="Arial" w:hAnsi="Arial" w:cs="Arial"/>
          <w:bCs/>
          <w:iCs/>
          <w:sz w:val="22"/>
          <w:szCs w:val="22"/>
          <w:lang w:val="en-CA"/>
        </w:rPr>
        <w:t xml:space="preserve">Maturity Date </w:t>
      </w:r>
      <w:r w:rsidR="00A85AA8" w:rsidRPr="00A85AA8">
        <w:rPr>
          <w:rFonts w:ascii="Arial" w:hAnsi="Arial" w:cs="Arial"/>
          <w:bCs/>
          <w:iCs/>
          <w:sz w:val="22"/>
          <w:szCs w:val="22"/>
          <w:lang w:val="en-CA"/>
        </w:rPr>
        <w:t xml:space="preserve">or (ii) two (2) business days after completion of a take-over bid or a merger, amalgamation, arrangement or other form of business combination as a result of which the shareholders of the </w:t>
      </w:r>
      <w:r w:rsidR="00E215E5">
        <w:rPr>
          <w:rFonts w:ascii="Arial" w:hAnsi="Arial" w:cs="Arial"/>
          <w:bCs/>
          <w:iCs/>
          <w:sz w:val="22"/>
          <w:szCs w:val="22"/>
          <w:lang w:val="en-CA"/>
        </w:rPr>
        <w:t>Company</w:t>
      </w:r>
      <w:r w:rsidR="00A85AA8" w:rsidRPr="00A85AA8">
        <w:rPr>
          <w:rFonts w:ascii="Arial" w:hAnsi="Arial" w:cs="Arial"/>
          <w:bCs/>
          <w:iCs/>
          <w:sz w:val="22"/>
          <w:szCs w:val="22"/>
          <w:lang w:val="en-CA"/>
        </w:rPr>
        <w:t xml:space="preserve"> immediately prior to such bid or business combination do not own a majority of votes attaching to the voting securities of the </w:t>
      </w:r>
      <w:r w:rsidR="00E215E5">
        <w:rPr>
          <w:rFonts w:ascii="Arial" w:hAnsi="Arial" w:cs="Arial"/>
          <w:bCs/>
          <w:iCs/>
          <w:sz w:val="22"/>
          <w:szCs w:val="22"/>
          <w:lang w:val="en-CA"/>
        </w:rPr>
        <w:t>Company</w:t>
      </w:r>
      <w:r w:rsidR="00A85AA8" w:rsidRPr="00A85AA8">
        <w:rPr>
          <w:rFonts w:ascii="Arial" w:hAnsi="Arial" w:cs="Arial"/>
          <w:bCs/>
          <w:iCs/>
          <w:sz w:val="22"/>
          <w:szCs w:val="22"/>
          <w:lang w:val="en-CA"/>
        </w:rPr>
        <w:t xml:space="preserve"> or of the resulting issuer or do not have the power to elect a majority of the directors of the </w:t>
      </w:r>
      <w:r w:rsidR="00E215E5">
        <w:rPr>
          <w:rFonts w:ascii="Arial" w:hAnsi="Arial" w:cs="Arial"/>
          <w:bCs/>
          <w:iCs/>
          <w:sz w:val="22"/>
          <w:szCs w:val="22"/>
          <w:lang w:val="en-CA"/>
        </w:rPr>
        <w:t>Company</w:t>
      </w:r>
      <w:r w:rsidR="00A85AA8" w:rsidRPr="00A85AA8">
        <w:rPr>
          <w:rFonts w:ascii="Arial" w:hAnsi="Arial" w:cs="Arial"/>
          <w:bCs/>
          <w:iCs/>
          <w:sz w:val="22"/>
          <w:szCs w:val="22"/>
          <w:lang w:val="en-CA"/>
        </w:rPr>
        <w:t xml:space="preserve"> or of the resulting issuer, as the case may be, after completion of such bid or business combination.</w:t>
      </w:r>
    </w:p>
    <w:p w14:paraId="44A70EAA" w14:textId="72EF01BA" w:rsidR="002322F8" w:rsidRPr="002322F8" w:rsidRDefault="002322F8" w:rsidP="002322F8">
      <w:pPr>
        <w:jc w:val="both"/>
        <w:rPr>
          <w:rFonts w:ascii="Arial" w:hAnsi="Arial" w:cs="Arial"/>
          <w:bCs/>
          <w:iCs/>
          <w:sz w:val="22"/>
          <w:szCs w:val="22"/>
        </w:rPr>
      </w:pPr>
      <w:r w:rsidRPr="002322F8">
        <w:rPr>
          <w:rFonts w:ascii="Arial" w:hAnsi="Arial" w:cs="Arial"/>
          <w:bCs/>
          <w:iCs/>
          <w:sz w:val="22"/>
          <w:szCs w:val="22"/>
        </w:rPr>
        <w:t xml:space="preserve">The proceeds received by the Corporation from the sale of the </w:t>
      </w:r>
      <w:r w:rsidR="00E215E5">
        <w:rPr>
          <w:rFonts w:ascii="Arial" w:hAnsi="Arial" w:cs="Arial"/>
          <w:bCs/>
          <w:iCs/>
          <w:sz w:val="22"/>
          <w:szCs w:val="22"/>
        </w:rPr>
        <w:t>D</w:t>
      </w:r>
      <w:r w:rsidRPr="002322F8">
        <w:rPr>
          <w:rFonts w:ascii="Arial" w:hAnsi="Arial" w:cs="Arial"/>
          <w:bCs/>
          <w:iCs/>
          <w:sz w:val="22"/>
          <w:szCs w:val="22"/>
        </w:rPr>
        <w:t>ebentures will be used for the costs and fees associated with the Private Placement</w:t>
      </w:r>
      <w:r>
        <w:rPr>
          <w:rFonts w:ascii="Arial" w:hAnsi="Arial" w:cs="Arial"/>
          <w:bCs/>
          <w:iCs/>
          <w:sz w:val="22"/>
          <w:szCs w:val="22"/>
        </w:rPr>
        <w:t>,</w:t>
      </w:r>
      <w:r w:rsidRPr="002322F8">
        <w:rPr>
          <w:rFonts w:ascii="Arial" w:hAnsi="Arial" w:cs="Arial"/>
          <w:bCs/>
          <w:iCs/>
          <w:sz w:val="22"/>
          <w:szCs w:val="22"/>
        </w:rPr>
        <w:t xml:space="preserve"> for general corporate overhead expenses including paying </w:t>
      </w:r>
      <w:r w:rsidR="00B33445">
        <w:rPr>
          <w:rFonts w:ascii="Arial" w:hAnsi="Arial" w:cs="Arial"/>
          <w:bCs/>
          <w:iCs/>
          <w:sz w:val="22"/>
          <w:szCs w:val="22"/>
        </w:rPr>
        <w:t xml:space="preserve">or accommodating </w:t>
      </w:r>
      <w:r w:rsidRPr="002322F8">
        <w:rPr>
          <w:rFonts w:ascii="Arial" w:hAnsi="Arial" w:cs="Arial"/>
          <w:bCs/>
          <w:iCs/>
          <w:sz w:val="22"/>
          <w:szCs w:val="22"/>
        </w:rPr>
        <w:t>current debts and liabilities</w:t>
      </w:r>
      <w:r>
        <w:rPr>
          <w:rFonts w:ascii="Arial" w:hAnsi="Arial" w:cs="Arial"/>
          <w:bCs/>
          <w:iCs/>
          <w:sz w:val="22"/>
          <w:szCs w:val="22"/>
        </w:rPr>
        <w:t xml:space="preserve"> and for payment of</w:t>
      </w:r>
      <w:r w:rsidRPr="002322F8">
        <w:rPr>
          <w:rFonts w:ascii="Arial" w:hAnsi="Arial" w:cs="Arial"/>
          <w:bCs/>
          <w:iCs/>
          <w:sz w:val="22"/>
          <w:szCs w:val="22"/>
        </w:rPr>
        <w:t xml:space="preserve"> operating expenses.  </w:t>
      </w:r>
    </w:p>
    <w:p w14:paraId="54A9D043" w14:textId="77777777" w:rsidR="002322F8" w:rsidRDefault="002322F8" w:rsidP="002322F8">
      <w:pPr>
        <w:jc w:val="both"/>
        <w:rPr>
          <w:rFonts w:ascii="Arial" w:hAnsi="Arial" w:cs="Arial"/>
          <w:bCs/>
          <w:iCs/>
          <w:sz w:val="22"/>
          <w:szCs w:val="22"/>
        </w:rPr>
      </w:pPr>
    </w:p>
    <w:p w14:paraId="7EB9C22E" w14:textId="0B009B81" w:rsidR="00A614B9" w:rsidRDefault="002322F8" w:rsidP="002322F8">
      <w:pPr>
        <w:jc w:val="both"/>
        <w:rPr>
          <w:rFonts w:ascii="Arial" w:hAnsi="Arial" w:cs="Arial"/>
          <w:bCs/>
          <w:iCs/>
          <w:sz w:val="22"/>
          <w:szCs w:val="22"/>
        </w:rPr>
      </w:pPr>
      <w:r w:rsidRPr="002322F8">
        <w:rPr>
          <w:rFonts w:ascii="Arial" w:hAnsi="Arial" w:cs="Arial"/>
          <w:bCs/>
          <w:iCs/>
          <w:sz w:val="22"/>
          <w:szCs w:val="22"/>
        </w:rPr>
        <w:t xml:space="preserve">All of the securities to </w:t>
      </w:r>
      <w:proofErr w:type="gramStart"/>
      <w:r w:rsidRPr="002322F8">
        <w:rPr>
          <w:rFonts w:ascii="Arial" w:hAnsi="Arial" w:cs="Arial"/>
          <w:bCs/>
          <w:iCs/>
          <w:sz w:val="22"/>
          <w:szCs w:val="22"/>
        </w:rPr>
        <w:t>be issued</w:t>
      </w:r>
      <w:proofErr w:type="gramEnd"/>
      <w:r w:rsidRPr="002322F8">
        <w:rPr>
          <w:rFonts w:ascii="Arial" w:hAnsi="Arial" w:cs="Arial"/>
          <w:bCs/>
          <w:iCs/>
          <w:sz w:val="22"/>
          <w:szCs w:val="22"/>
        </w:rPr>
        <w:t xml:space="preserve"> pursuant to the Private Placement are subject to a four (4) month hold period</w:t>
      </w:r>
      <w:r w:rsidR="00F44ABE">
        <w:rPr>
          <w:rFonts w:ascii="Arial" w:hAnsi="Arial" w:cs="Arial"/>
          <w:bCs/>
          <w:iCs/>
          <w:sz w:val="22"/>
          <w:szCs w:val="22"/>
        </w:rPr>
        <w:t xml:space="preserve"> from the date of issuance</w:t>
      </w:r>
      <w:r w:rsidRPr="002322F8">
        <w:rPr>
          <w:rFonts w:ascii="Arial" w:hAnsi="Arial" w:cs="Arial"/>
          <w:bCs/>
          <w:iCs/>
          <w:sz w:val="22"/>
          <w:szCs w:val="22"/>
        </w:rPr>
        <w:t>.</w:t>
      </w:r>
    </w:p>
    <w:p w14:paraId="3BA9C873" w14:textId="205869F4" w:rsidR="00C406A4" w:rsidRDefault="00C406A4" w:rsidP="00664A84">
      <w:pPr>
        <w:jc w:val="both"/>
        <w:rPr>
          <w:rFonts w:ascii="Arial" w:hAnsi="Arial" w:cs="Arial"/>
          <w:bCs/>
          <w:iCs/>
          <w:sz w:val="22"/>
          <w:szCs w:val="22"/>
        </w:rPr>
      </w:pPr>
    </w:p>
    <w:p w14:paraId="445BC78C" w14:textId="430F43D3" w:rsidR="00A27337" w:rsidRPr="008E13C7" w:rsidRDefault="00A27337" w:rsidP="00A85AA8">
      <w:pPr>
        <w:keepNext/>
        <w:keepLines/>
        <w:jc w:val="both"/>
        <w:rPr>
          <w:rFonts w:ascii="Arial" w:hAnsi="Arial" w:cs="Arial"/>
          <w:b/>
          <w:bCs/>
          <w:sz w:val="22"/>
          <w:szCs w:val="22"/>
        </w:rPr>
      </w:pPr>
      <w:r w:rsidRPr="00EC6B9F">
        <w:rPr>
          <w:rFonts w:ascii="Arial" w:hAnsi="Arial" w:cs="Arial"/>
          <w:b/>
          <w:bCs/>
          <w:i/>
          <w:iCs/>
          <w:sz w:val="22"/>
          <w:szCs w:val="22"/>
        </w:rPr>
        <w:t>About KWG:</w:t>
      </w:r>
    </w:p>
    <w:p w14:paraId="78639ABD" w14:textId="58F70939" w:rsidR="00D07F4E" w:rsidRDefault="00D07F4E" w:rsidP="00D07F4E">
      <w:pPr>
        <w:jc w:val="both"/>
        <w:rPr>
          <w:rFonts w:ascii="Arial" w:hAnsi="Arial" w:cs="Arial"/>
          <w:bCs/>
          <w:iCs/>
          <w:sz w:val="22"/>
          <w:szCs w:val="22"/>
        </w:rPr>
      </w:pPr>
      <w:r w:rsidRPr="008D6CAB">
        <w:rPr>
          <w:rFonts w:ascii="Arial" w:hAnsi="Arial" w:cs="Arial"/>
          <w:bCs/>
          <w:iCs/>
          <w:sz w:val="22"/>
          <w:szCs w:val="22"/>
        </w:rPr>
        <w:t xml:space="preserve">KWG is the owner of 100% of the Black Horse chromite project (formerly part of </w:t>
      </w:r>
      <w:proofErr w:type="spellStart"/>
      <w:r w:rsidRPr="008D6CAB">
        <w:rPr>
          <w:rFonts w:ascii="Arial" w:hAnsi="Arial" w:cs="Arial"/>
          <w:bCs/>
          <w:iCs/>
          <w:sz w:val="22"/>
          <w:szCs w:val="22"/>
        </w:rPr>
        <w:t>Fancamp’s</w:t>
      </w:r>
      <w:proofErr w:type="spellEnd"/>
      <w:r w:rsidRPr="008D6CAB">
        <w:rPr>
          <w:rFonts w:ascii="Arial" w:hAnsi="Arial" w:cs="Arial"/>
          <w:bCs/>
          <w:iCs/>
          <w:sz w:val="22"/>
          <w:szCs w:val="22"/>
        </w:rPr>
        <w:t xml:space="preserve"> “Koper Lake-</w:t>
      </w:r>
      <w:proofErr w:type="spellStart"/>
      <w:r w:rsidRPr="008D6CAB">
        <w:rPr>
          <w:rFonts w:ascii="Arial" w:hAnsi="Arial" w:cs="Arial"/>
          <w:bCs/>
          <w:iCs/>
          <w:sz w:val="22"/>
          <w:szCs w:val="22"/>
        </w:rPr>
        <w:t>McFaulds</w:t>
      </w:r>
      <w:proofErr w:type="spellEnd"/>
      <w:r w:rsidRPr="008D6CAB">
        <w:rPr>
          <w:rFonts w:ascii="Arial" w:hAnsi="Arial" w:cs="Arial"/>
          <w:bCs/>
          <w:iCs/>
          <w:sz w:val="22"/>
          <w:szCs w:val="22"/>
        </w:rPr>
        <w:t xml:space="preserve">” properties) in which Bold Ventures Inc. is carried through exploration of the former </w:t>
      </w:r>
      <w:proofErr w:type="spellStart"/>
      <w:r w:rsidRPr="008D6CAB">
        <w:rPr>
          <w:rFonts w:ascii="Arial" w:hAnsi="Arial" w:cs="Arial"/>
          <w:bCs/>
          <w:iCs/>
          <w:sz w:val="22"/>
          <w:szCs w:val="22"/>
        </w:rPr>
        <w:t>Fancamp</w:t>
      </w:r>
      <w:proofErr w:type="spellEnd"/>
      <w:r w:rsidRPr="008D6CAB">
        <w:rPr>
          <w:rFonts w:ascii="Arial" w:hAnsi="Arial" w:cs="Arial"/>
          <w:bCs/>
          <w:iCs/>
          <w:sz w:val="22"/>
          <w:szCs w:val="22"/>
        </w:rPr>
        <w:t xml:space="preserve"> claims for 10% of the chromite project</w:t>
      </w:r>
      <w:r w:rsidR="00E215E5">
        <w:rPr>
          <w:rFonts w:ascii="Arial" w:hAnsi="Arial" w:cs="Arial"/>
          <w:bCs/>
          <w:iCs/>
          <w:sz w:val="22"/>
          <w:szCs w:val="22"/>
        </w:rPr>
        <w:t xml:space="preserve"> and 40% of the other minerals</w:t>
      </w:r>
      <w:r w:rsidRPr="008D6CAB">
        <w:rPr>
          <w:rFonts w:ascii="Arial" w:hAnsi="Arial" w:cs="Arial"/>
          <w:bCs/>
          <w:iCs/>
          <w:sz w:val="22"/>
          <w:szCs w:val="22"/>
        </w:rPr>
        <w:t xml:space="preserve">. KWG also holds other area interests including a 100% interest in the Hornby claims, a 15% vested interest </w:t>
      </w:r>
      <w:r w:rsidRPr="008D6CAB">
        <w:rPr>
          <w:rFonts w:ascii="Arial" w:hAnsi="Arial" w:cs="Arial"/>
          <w:bCs/>
          <w:iCs/>
          <w:sz w:val="22"/>
          <w:szCs w:val="22"/>
        </w:rPr>
        <w:lastRenderedPageBreak/>
        <w:t xml:space="preserve">in the </w:t>
      </w:r>
      <w:proofErr w:type="spellStart"/>
      <w:r w:rsidRPr="008D6CAB">
        <w:rPr>
          <w:rFonts w:ascii="Arial" w:hAnsi="Arial" w:cs="Arial"/>
          <w:bCs/>
          <w:iCs/>
          <w:sz w:val="22"/>
          <w:szCs w:val="22"/>
        </w:rPr>
        <w:t>McFaulds</w:t>
      </w:r>
      <w:proofErr w:type="spellEnd"/>
      <w:r w:rsidRPr="008D6CAB">
        <w:rPr>
          <w:rFonts w:ascii="Arial" w:hAnsi="Arial" w:cs="Arial"/>
          <w:bCs/>
          <w:iCs/>
          <w:sz w:val="22"/>
          <w:szCs w:val="22"/>
        </w:rPr>
        <w:t xml:space="preserve"> copper/zinc project and a vested 30% interest in the Big Daddy chromite project. KWG also owns 100% of CCC which staked mining claims between </w:t>
      </w:r>
      <w:proofErr w:type="spellStart"/>
      <w:r w:rsidRPr="008D6CAB">
        <w:rPr>
          <w:rFonts w:ascii="Arial" w:hAnsi="Arial" w:cs="Arial"/>
          <w:bCs/>
          <w:iCs/>
          <w:sz w:val="22"/>
          <w:szCs w:val="22"/>
        </w:rPr>
        <w:t>Aroland</w:t>
      </w:r>
      <w:proofErr w:type="spellEnd"/>
      <w:r w:rsidRPr="008D6CAB">
        <w:rPr>
          <w:rFonts w:ascii="Arial" w:hAnsi="Arial" w:cs="Arial"/>
          <w:bCs/>
          <w:iCs/>
          <w:sz w:val="22"/>
          <w:szCs w:val="22"/>
        </w:rPr>
        <w:t xml:space="preserve">, Ontario (near </w:t>
      </w:r>
      <w:proofErr w:type="spellStart"/>
      <w:r w:rsidRPr="008D6CAB">
        <w:rPr>
          <w:rFonts w:ascii="Arial" w:hAnsi="Arial" w:cs="Arial"/>
          <w:bCs/>
          <w:iCs/>
          <w:sz w:val="22"/>
          <w:szCs w:val="22"/>
        </w:rPr>
        <w:t>Nakina</w:t>
      </w:r>
      <w:proofErr w:type="spellEnd"/>
      <w:r w:rsidRPr="008D6CAB">
        <w:rPr>
          <w:rFonts w:ascii="Arial" w:hAnsi="Arial" w:cs="Arial"/>
          <w:bCs/>
          <w:iCs/>
          <w:sz w:val="22"/>
          <w:szCs w:val="22"/>
        </w:rPr>
        <w:t xml:space="preserve">) and the Ring of Fire. CCC has conducted a surveying and soil testing program to assess the prospects for the engineering and construction of a railroad along that route between the Ring of Fire and </w:t>
      </w:r>
      <w:proofErr w:type="spellStart"/>
      <w:r w:rsidRPr="008D6CAB">
        <w:rPr>
          <w:rFonts w:ascii="Arial" w:hAnsi="Arial" w:cs="Arial"/>
          <w:bCs/>
          <w:iCs/>
          <w:sz w:val="22"/>
          <w:szCs w:val="22"/>
        </w:rPr>
        <w:t>Aroland</w:t>
      </w:r>
      <w:proofErr w:type="spellEnd"/>
      <w:r w:rsidRPr="008D6CAB">
        <w:rPr>
          <w:rFonts w:ascii="Arial" w:hAnsi="Arial" w:cs="Arial"/>
          <w:bCs/>
          <w:iCs/>
          <w:sz w:val="22"/>
          <w:szCs w:val="22"/>
        </w:rPr>
        <w:t>, Ontario</w:t>
      </w:r>
      <w:r>
        <w:rPr>
          <w:rFonts w:ascii="Arial" w:hAnsi="Arial" w:cs="Arial"/>
          <w:bCs/>
          <w:iCs/>
          <w:sz w:val="22"/>
          <w:szCs w:val="22"/>
        </w:rPr>
        <w:t xml:space="preserve"> covering the claims staked by CCC</w:t>
      </w:r>
      <w:r w:rsidRPr="008D6CAB">
        <w:rPr>
          <w:rFonts w:ascii="Arial" w:hAnsi="Arial" w:cs="Arial"/>
          <w:bCs/>
          <w:iCs/>
          <w:sz w:val="22"/>
          <w:szCs w:val="22"/>
        </w:rPr>
        <w:t>. CCC engaged Cormorant Utilities and Rail-</w:t>
      </w:r>
      <w:proofErr w:type="spellStart"/>
      <w:r w:rsidRPr="008D6CAB">
        <w:rPr>
          <w:rFonts w:ascii="Arial" w:hAnsi="Arial" w:cs="Arial"/>
          <w:bCs/>
          <w:iCs/>
          <w:sz w:val="22"/>
          <w:szCs w:val="22"/>
        </w:rPr>
        <w:t>Veyor</w:t>
      </w:r>
      <w:proofErr w:type="spellEnd"/>
      <w:r w:rsidRPr="008D6CAB">
        <w:rPr>
          <w:rFonts w:ascii="Arial" w:hAnsi="Arial" w:cs="Arial"/>
          <w:bCs/>
          <w:iCs/>
          <w:sz w:val="22"/>
          <w:szCs w:val="22"/>
        </w:rPr>
        <w:t xml:space="preserve"> Technologies for </w:t>
      </w:r>
      <w:r w:rsidR="00E215E5">
        <w:rPr>
          <w:rFonts w:ascii="Arial" w:hAnsi="Arial" w:cs="Arial"/>
          <w:bCs/>
          <w:iCs/>
          <w:sz w:val="22"/>
          <w:szCs w:val="22"/>
        </w:rPr>
        <w:t>e</w:t>
      </w:r>
      <w:r w:rsidRPr="008D6CAB">
        <w:rPr>
          <w:rFonts w:ascii="Arial" w:hAnsi="Arial" w:cs="Arial"/>
          <w:bCs/>
          <w:iCs/>
          <w:sz w:val="22"/>
          <w:szCs w:val="22"/>
        </w:rPr>
        <w:t xml:space="preserve">ngineering </w:t>
      </w:r>
      <w:r w:rsidR="00E215E5">
        <w:rPr>
          <w:rFonts w:ascii="Arial" w:hAnsi="Arial" w:cs="Arial"/>
          <w:bCs/>
          <w:iCs/>
          <w:sz w:val="22"/>
          <w:szCs w:val="22"/>
        </w:rPr>
        <w:t>p</w:t>
      </w:r>
      <w:r w:rsidRPr="008D6CAB">
        <w:rPr>
          <w:rFonts w:ascii="Arial" w:hAnsi="Arial" w:cs="Arial"/>
          <w:bCs/>
          <w:iCs/>
          <w:sz w:val="22"/>
          <w:szCs w:val="22"/>
        </w:rPr>
        <w:t xml:space="preserve">roposals for the construction of a transportation and utility corridor within the route and has received those proposals. KWG has also acquired intellectual property interests, including a method for the direct reduction of chromite to metalized iron and chrome using natural gas. KWG subsidiary </w:t>
      </w:r>
      <w:proofErr w:type="spellStart"/>
      <w:r w:rsidRPr="008D6CAB">
        <w:rPr>
          <w:rFonts w:ascii="Arial" w:hAnsi="Arial" w:cs="Arial"/>
          <w:bCs/>
          <w:iCs/>
          <w:sz w:val="22"/>
          <w:szCs w:val="22"/>
        </w:rPr>
        <w:t>Muketi</w:t>
      </w:r>
      <w:proofErr w:type="spellEnd"/>
      <w:r w:rsidRPr="008D6CAB">
        <w:rPr>
          <w:rFonts w:ascii="Arial" w:hAnsi="Arial" w:cs="Arial"/>
          <w:bCs/>
          <w:iCs/>
          <w:sz w:val="22"/>
          <w:szCs w:val="22"/>
        </w:rPr>
        <w:t xml:space="preserve"> Metallurgical LP has acquired two chromite-refining patents in Canada and one in each of the USA, South Africa and Kazakhstan, and is prosecuting an application in Turkey.</w:t>
      </w:r>
    </w:p>
    <w:p w14:paraId="0E2BFC17" w14:textId="77777777" w:rsidR="00D07F4E" w:rsidRDefault="00D07F4E" w:rsidP="00D07F4E">
      <w:pPr>
        <w:jc w:val="both"/>
        <w:rPr>
          <w:rFonts w:ascii="Arial" w:hAnsi="Arial" w:cs="Arial"/>
          <w:bCs/>
          <w:iCs/>
          <w:sz w:val="22"/>
          <w:szCs w:val="22"/>
        </w:rPr>
      </w:pPr>
    </w:p>
    <w:p w14:paraId="634B630B" w14:textId="77777777" w:rsidR="00A27337" w:rsidRPr="00EC6B9F" w:rsidRDefault="00A27337" w:rsidP="00B7766A">
      <w:pPr>
        <w:keepNext/>
        <w:keepLines/>
        <w:widowControl w:val="0"/>
        <w:autoSpaceDE w:val="0"/>
        <w:autoSpaceDN w:val="0"/>
        <w:adjustRightInd w:val="0"/>
        <w:ind w:right="58"/>
        <w:jc w:val="center"/>
        <w:rPr>
          <w:rFonts w:ascii="Arial" w:hAnsi="Arial" w:cs="Arial"/>
          <w:sz w:val="22"/>
          <w:szCs w:val="22"/>
        </w:rPr>
      </w:pPr>
      <w:r w:rsidRPr="00EC6B9F">
        <w:rPr>
          <w:rFonts w:ascii="Arial" w:hAnsi="Arial" w:cs="Arial"/>
          <w:sz w:val="22"/>
          <w:szCs w:val="22"/>
        </w:rPr>
        <w:t>For further information, please contact:</w:t>
      </w:r>
    </w:p>
    <w:p w14:paraId="5E237B7B" w14:textId="77777777" w:rsidR="00A27337" w:rsidRPr="00EC6B9F" w:rsidRDefault="00A27337" w:rsidP="00A27337">
      <w:pPr>
        <w:widowControl w:val="0"/>
        <w:autoSpaceDE w:val="0"/>
        <w:autoSpaceDN w:val="0"/>
        <w:adjustRightInd w:val="0"/>
        <w:spacing w:after="240" w:line="239" w:lineRule="auto"/>
        <w:ind w:right="54"/>
        <w:jc w:val="center"/>
        <w:rPr>
          <w:rFonts w:ascii="Arial" w:hAnsi="Arial" w:cs="Arial"/>
          <w:sz w:val="22"/>
          <w:szCs w:val="22"/>
        </w:rPr>
      </w:pPr>
      <w:r w:rsidRPr="00EC6B9F">
        <w:rPr>
          <w:rFonts w:ascii="Arial" w:hAnsi="Arial" w:cs="Arial"/>
          <w:sz w:val="22"/>
          <w:szCs w:val="22"/>
        </w:rPr>
        <w:t xml:space="preserve">Bruce Hodgman, Vice-President: </w:t>
      </w:r>
      <w:r w:rsidRPr="00EC6B9F">
        <w:rPr>
          <w:rFonts w:ascii="Arial" w:hAnsi="Arial" w:cs="Arial" w:hint="eastAsia"/>
          <w:sz w:val="22"/>
          <w:szCs w:val="22"/>
        </w:rPr>
        <w:t xml:space="preserve">416-642-3575 </w:t>
      </w:r>
      <w:r w:rsidRPr="00EC6B9F">
        <w:rPr>
          <w:rFonts w:ascii="Arial" w:hAnsi="Arial" w:cs="Arial"/>
          <w:sz w:val="22"/>
          <w:szCs w:val="22"/>
        </w:rPr>
        <w:t>~</w:t>
      </w:r>
      <w:r w:rsidRPr="00EC6B9F">
        <w:rPr>
          <w:rFonts w:ascii="Arial" w:hAnsi="Arial" w:cs="Arial" w:hint="eastAsia"/>
          <w:sz w:val="22"/>
          <w:szCs w:val="22"/>
        </w:rPr>
        <w:t xml:space="preserve"> info@kwgresources.com</w:t>
      </w:r>
      <w:r w:rsidRPr="00EC6B9F">
        <w:rPr>
          <w:rFonts w:ascii="Arial" w:hAnsi="Arial" w:cs="Arial"/>
          <w:sz w:val="22"/>
          <w:szCs w:val="22"/>
        </w:rPr>
        <w:t xml:space="preserve"> </w:t>
      </w:r>
    </w:p>
    <w:p w14:paraId="0BDF9880" w14:textId="77777777" w:rsidR="00E215E5" w:rsidRDefault="008E13C7" w:rsidP="008E13C7">
      <w:pPr>
        <w:widowControl w:val="0"/>
        <w:autoSpaceDE w:val="0"/>
        <w:autoSpaceDN w:val="0"/>
        <w:adjustRightInd w:val="0"/>
        <w:spacing w:line="237" w:lineRule="auto"/>
        <w:ind w:right="54"/>
        <w:jc w:val="both"/>
        <w:rPr>
          <w:rFonts w:ascii="Arial" w:hAnsi="Arial" w:cs="Arial"/>
          <w:i/>
          <w:sz w:val="17"/>
          <w:szCs w:val="17"/>
          <w:lang w:val="en-CA"/>
        </w:rPr>
      </w:pPr>
      <w:r w:rsidRPr="0072596C">
        <w:rPr>
          <w:rFonts w:ascii="Arial" w:hAnsi="Arial" w:cs="Arial"/>
          <w:b/>
          <w:i/>
          <w:sz w:val="17"/>
          <w:szCs w:val="17"/>
          <w:lang w:val="en-CA"/>
        </w:rPr>
        <w:t xml:space="preserve">Forward-Looking Statements: </w:t>
      </w:r>
      <w:r w:rsidRPr="0072596C">
        <w:rPr>
          <w:rFonts w:ascii="Arial" w:hAnsi="Arial" w:cs="Arial"/>
          <w:i/>
          <w:sz w:val="17"/>
          <w:szCs w:val="17"/>
          <w:lang w:val="en-CA"/>
        </w:rPr>
        <w:t xml:space="preserve">Information set forth in this news release may involve forward-looking statements under applicable securities laws. The forward-looking statements contained herein are expressly qualified in their entirety by this cautionary statement. The forward-looking statements included in this document are made as of the date of this document and KWG disclaims any intention or obligation to update or revise any forward-looking statements, whether as a result of new information, future events or otherwise, except as expressly required by applicable securities legislation.  Although management believes that the expectations represented in such forward-looking statements are reasonable, there can be no assurance that such expectations will prove to be correct. </w:t>
      </w:r>
    </w:p>
    <w:p w14:paraId="7E5DE437" w14:textId="77777777" w:rsidR="00E215E5" w:rsidRDefault="00E215E5" w:rsidP="008E13C7">
      <w:pPr>
        <w:widowControl w:val="0"/>
        <w:autoSpaceDE w:val="0"/>
        <w:autoSpaceDN w:val="0"/>
        <w:adjustRightInd w:val="0"/>
        <w:spacing w:line="237" w:lineRule="auto"/>
        <w:ind w:right="54"/>
        <w:jc w:val="both"/>
        <w:rPr>
          <w:rFonts w:ascii="Arial" w:hAnsi="Arial" w:cs="Arial"/>
          <w:i/>
          <w:sz w:val="17"/>
          <w:szCs w:val="17"/>
          <w:lang w:val="en-CA"/>
        </w:rPr>
      </w:pPr>
    </w:p>
    <w:p w14:paraId="3B98C304" w14:textId="77777777" w:rsidR="00E215E5" w:rsidRDefault="008E13C7" w:rsidP="008E13C7">
      <w:pPr>
        <w:widowControl w:val="0"/>
        <w:autoSpaceDE w:val="0"/>
        <w:autoSpaceDN w:val="0"/>
        <w:adjustRightInd w:val="0"/>
        <w:spacing w:line="237" w:lineRule="auto"/>
        <w:ind w:right="54"/>
        <w:jc w:val="both"/>
        <w:rPr>
          <w:rFonts w:ascii="Arial" w:hAnsi="Arial" w:cs="Arial"/>
          <w:i/>
          <w:sz w:val="17"/>
          <w:szCs w:val="17"/>
          <w:lang w:val="en-CA"/>
        </w:rPr>
      </w:pPr>
      <w:r w:rsidRPr="0072596C">
        <w:rPr>
          <w:rFonts w:ascii="Arial" w:hAnsi="Arial" w:cs="Arial"/>
          <w:i/>
          <w:sz w:val="17"/>
          <w:szCs w:val="17"/>
          <w:lang w:val="en-CA"/>
        </w:rPr>
        <w:t xml:space="preserve">This news release does not constitute an offer to sell or solicitation of an offer to buy any securities that may be described herein and accordingly undue reliance should not be put on such. </w:t>
      </w:r>
    </w:p>
    <w:p w14:paraId="7B994C13" w14:textId="77777777" w:rsidR="00E215E5" w:rsidRDefault="00E215E5" w:rsidP="008E13C7">
      <w:pPr>
        <w:widowControl w:val="0"/>
        <w:autoSpaceDE w:val="0"/>
        <w:autoSpaceDN w:val="0"/>
        <w:adjustRightInd w:val="0"/>
        <w:spacing w:line="237" w:lineRule="auto"/>
        <w:ind w:right="54"/>
        <w:jc w:val="both"/>
        <w:rPr>
          <w:rFonts w:ascii="Arial" w:hAnsi="Arial" w:cs="Arial"/>
          <w:i/>
          <w:sz w:val="17"/>
          <w:szCs w:val="17"/>
          <w:lang w:val="en-CA"/>
        </w:rPr>
      </w:pPr>
    </w:p>
    <w:p w14:paraId="7133C4B7" w14:textId="6E7E3A8E" w:rsidR="008E13C7" w:rsidRPr="0072596C" w:rsidRDefault="008E13C7" w:rsidP="008E13C7">
      <w:pPr>
        <w:widowControl w:val="0"/>
        <w:autoSpaceDE w:val="0"/>
        <w:autoSpaceDN w:val="0"/>
        <w:adjustRightInd w:val="0"/>
        <w:spacing w:line="237" w:lineRule="auto"/>
        <w:ind w:right="54"/>
        <w:jc w:val="both"/>
        <w:rPr>
          <w:i/>
          <w:sz w:val="17"/>
          <w:szCs w:val="17"/>
        </w:rPr>
      </w:pPr>
      <w:r w:rsidRPr="0072596C">
        <w:rPr>
          <w:rFonts w:ascii="Arial" w:hAnsi="Arial" w:cs="Arial"/>
          <w:i/>
          <w:sz w:val="17"/>
          <w:szCs w:val="17"/>
          <w:lang w:val="en-CA"/>
        </w:rPr>
        <w:t>Neither the Canadian Securities Exchange nor its Regulation Services Provider (as that term is defined in the policies of the CSE) accepts responsibility for the adequacy or accuracy of this news release.</w:t>
      </w:r>
    </w:p>
    <w:p w14:paraId="4233673D" w14:textId="0A243D6D" w:rsidR="0072596C" w:rsidRPr="00C374A0" w:rsidRDefault="0072596C" w:rsidP="00177EAF">
      <w:pPr>
        <w:widowControl w:val="0"/>
        <w:autoSpaceDE w:val="0"/>
        <w:autoSpaceDN w:val="0"/>
        <w:adjustRightInd w:val="0"/>
        <w:spacing w:line="237" w:lineRule="auto"/>
        <w:ind w:right="54"/>
        <w:jc w:val="both"/>
        <w:rPr>
          <w:i/>
          <w:sz w:val="17"/>
          <w:szCs w:val="17"/>
        </w:rPr>
      </w:pPr>
    </w:p>
    <w:sectPr w:rsidR="0072596C" w:rsidRPr="00C374A0" w:rsidSect="00F217B9">
      <w:headerReference w:type="default" r:id="rId9"/>
      <w:footerReference w:type="default" r:id="rId10"/>
      <w:footerReference w:type="first" r:id="rId11"/>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1E268" w14:textId="77777777" w:rsidR="0057517A" w:rsidRDefault="0057517A">
      <w:r>
        <w:separator/>
      </w:r>
    </w:p>
  </w:endnote>
  <w:endnote w:type="continuationSeparator" w:id="0">
    <w:p w14:paraId="6CC58978" w14:textId="77777777" w:rsidR="0057517A" w:rsidRDefault="0057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59F0" w14:textId="77777777" w:rsidR="00452336" w:rsidRDefault="008E4E8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D6170" w14:textId="77777777" w:rsidR="00452336" w:rsidRDefault="008E4E8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B3106" w14:textId="77777777" w:rsidR="0057517A" w:rsidRDefault="0057517A">
      <w:r>
        <w:separator/>
      </w:r>
    </w:p>
  </w:footnote>
  <w:footnote w:type="continuationSeparator" w:id="0">
    <w:p w14:paraId="5138D506" w14:textId="77777777" w:rsidR="0057517A" w:rsidRDefault="00575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2BC8" w14:textId="7681A95E" w:rsidR="00452336" w:rsidRDefault="008E4E8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28"/>
    <w:rsid w:val="00000E44"/>
    <w:rsid w:val="00006BD5"/>
    <w:rsid w:val="00014AAE"/>
    <w:rsid w:val="00014B2D"/>
    <w:rsid w:val="000503A8"/>
    <w:rsid w:val="00051A8A"/>
    <w:rsid w:val="00056724"/>
    <w:rsid w:val="00056E6D"/>
    <w:rsid w:val="00057615"/>
    <w:rsid w:val="0006484D"/>
    <w:rsid w:val="00080BB9"/>
    <w:rsid w:val="000915A0"/>
    <w:rsid w:val="00092B00"/>
    <w:rsid w:val="000930A0"/>
    <w:rsid w:val="00094E81"/>
    <w:rsid w:val="000B1DA4"/>
    <w:rsid w:val="000D64B9"/>
    <w:rsid w:val="000E21F4"/>
    <w:rsid w:val="000E7A2F"/>
    <w:rsid w:val="001004CA"/>
    <w:rsid w:val="001018DD"/>
    <w:rsid w:val="00102EE1"/>
    <w:rsid w:val="0011214A"/>
    <w:rsid w:val="00123640"/>
    <w:rsid w:val="00143A0B"/>
    <w:rsid w:val="00151DA3"/>
    <w:rsid w:val="00154F5E"/>
    <w:rsid w:val="00161214"/>
    <w:rsid w:val="00172279"/>
    <w:rsid w:val="00174881"/>
    <w:rsid w:val="00177EAF"/>
    <w:rsid w:val="0018050A"/>
    <w:rsid w:val="0019244C"/>
    <w:rsid w:val="001969BF"/>
    <w:rsid w:val="001A7048"/>
    <w:rsid w:val="001A7B77"/>
    <w:rsid w:val="001B0148"/>
    <w:rsid w:val="001B0A31"/>
    <w:rsid w:val="001B1BF0"/>
    <w:rsid w:val="001B3117"/>
    <w:rsid w:val="001C0956"/>
    <w:rsid w:val="001D214E"/>
    <w:rsid w:val="001D39B5"/>
    <w:rsid w:val="001F1AF1"/>
    <w:rsid w:val="001F7C2A"/>
    <w:rsid w:val="00223931"/>
    <w:rsid w:val="002240E2"/>
    <w:rsid w:val="002322F8"/>
    <w:rsid w:val="00243873"/>
    <w:rsid w:val="00263ADC"/>
    <w:rsid w:val="00266678"/>
    <w:rsid w:val="00276A79"/>
    <w:rsid w:val="00284410"/>
    <w:rsid w:val="00291071"/>
    <w:rsid w:val="002954DE"/>
    <w:rsid w:val="00296A8E"/>
    <w:rsid w:val="002B2DF7"/>
    <w:rsid w:val="002B64C7"/>
    <w:rsid w:val="002C221F"/>
    <w:rsid w:val="002D12CE"/>
    <w:rsid w:val="00313B8A"/>
    <w:rsid w:val="00314EA5"/>
    <w:rsid w:val="003355F3"/>
    <w:rsid w:val="00337EBB"/>
    <w:rsid w:val="00355563"/>
    <w:rsid w:val="00355D82"/>
    <w:rsid w:val="00366F4C"/>
    <w:rsid w:val="003748B4"/>
    <w:rsid w:val="003816FD"/>
    <w:rsid w:val="003941CE"/>
    <w:rsid w:val="00396D6F"/>
    <w:rsid w:val="003A1D55"/>
    <w:rsid w:val="003C49B1"/>
    <w:rsid w:val="003D58D2"/>
    <w:rsid w:val="003E40DB"/>
    <w:rsid w:val="00441788"/>
    <w:rsid w:val="00450F1F"/>
    <w:rsid w:val="00452336"/>
    <w:rsid w:val="00454326"/>
    <w:rsid w:val="00482B7B"/>
    <w:rsid w:val="00484599"/>
    <w:rsid w:val="004910F0"/>
    <w:rsid w:val="0049453B"/>
    <w:rsid w:val="00495300"/>
    <w:rsid w:val="004A0CC8"/>
    <w:rsid w:val="004B0C7A"/>
    <w:rsid w:val="004B1B5F"/>
    <w:rsid w:val="004C605C"/>
    <w:rsid w:val="004D211D"/>
    <w:rsid w:val="004F151F"/>
    <w:rsid w:val="004F7700"/>
    <w:rsid w:val="004F7F0D"/>
    <w:rsid w:val="00507544"/>
    <w:rsid w:val="00524CE8"/>
    <w:rsid w:val="0053169D"/>
    <w:rsid w:val="00564580"/>
    <w:rsid w:val="00564ADF"/>
    <w:rsid w:val="00572F14"/>
    <w:rsid w:val="00573ACF"/>
    <w:rsid w:val="0057517A"/>
    <w:rsid w:val="00586923"/>
    <w:rsid w:val="00595D7C"/>
    <w:rsid w:val="00597327"/>
    <w:rsid w:val="005D11B6"/>
    <w:rsid w:val="005E2306"/>
    <w:rsid w:val="005E4F44"/>
    <w:rsid w:val="005F03D7"/>
    <w:rsid w:val="005F2C2B"/>
    <w:rsid w:val="00612EE3"/>
    <w:rsid w:val="00613C41"/>
    <w:rsid w:val="00621CDB"/>
    <w:rsid w:val="00625B78"/>
    <w:rsid w:val="00626435"/>
    <w:rsid w:val="006425DC"/>
    <w:rsid w:val="00653F89"/>
    <w:rsid w:val="006611E1"/>
    <w:rsid w:val="00664651"/>
    <w:rsid w:val="00664A84"/>
    <w:rsid w:val="0066624A"/>
    <w:rsid w:val="0066736D"/>
    <w:rsid w:val="00680608"/>
    <w:rsid w:val="006819D5"/>
    <w:rsid w:val="00690B84"/>
    <w:rsid w:val="006C59DC"/>
    <w:rsid w:val="006C7AF9"/>
    <w:rsid w:val="006E13F7"/>
    <w:rsid w:val="006E6A06"/>
    <w:rsid w:val="006F4424"/>
    <w:rsid w:val="007034DD"/>
    <w:rsid w:val="00705920"/>
    <w:rsid w:val="00715BC2"/>
    <w:rsid w:val="00717F1A"/>
    <w:rsid w:val="007207C0"/>
    <w:rsid w:val="0072596C"/>
    <w:rsid w:val="007518B3"/>
    <w:rsid w:val="007838C8"/>
    <w:rsid w:val="00796126"/>
    <w:rsid w:val="007A2108"/>
    <w:rsid w:val="007B258B"/>
    <w:rsid w:val="007C224C"/>
    <w:rsid w:val="007C2836"/>
    <w:rsid w:val="007C67E2"/>
    <w:rsid w:val="007C67EF"/>
    <w:rsid w:val="007C7688"/>
    <w:rsid w:val="007D0D5B"/>
    <w:rsid w:val="007D3760"/>
    <w:rsid w:val="007E23B8"/>
    <w:rsid w:val="007E2D30"/>
    <w:rsid w:val="007E3157"/>
    <w:rsid w:val="007F1FE1"/>
    <w:rsid w:val="008054E7"/>
    <w:rsid w:val="00805C3C"/>
    <w:rsid w:val="0081508A"/>
    <w:rsid w:val="008171B7"/>
    <w:rsid w:val="00823B36"/>
    <w:rsid w:val="00823F55"/>
    <w:rsid w:val="008510BF"/>
    <w:rsid w:val="00872B17"/>
    <w:rsid w:val="008B137A"/>
    <w:rsid w:val="008B201F"/>
    <w:rsid w:val="008C24F2"/>
    <w:rsid w:val="008C5020"/>
    <w:rsid w:val="008E13C7"/>
    <w:rsid w:val="008E4E8C"/>
    <w:rsid w:val="008F7E65"/>
    <w:rsid w:val="009045EC"/>
    <w:rsid w:val="009105EC"/>
    <w:rsid w:val="0092341E"/>
    <w:rsid w:val="00933C3F"/>
    <w:rsid w:val="00936427"/>
    <w:rsid w:val="0094690C"/>
    <w:rsid w:val="0095252C"/>
    <w:rsid w:val="00956B29"/>
    <w:rsid w:val="009704E8"/>
    <w:rsid w:val="00970CF4"/>
    <w:rsid w:val="009758C4"/>
    <w:rsid w:val="00985ABC"/>
    <w:rsid w:val="009A3D7B"/>
    <w:rsid w:val="009B2D06"/>
    <w:rsid w:val="009D2902"/>
    <w:rsid w:val="009E3D89"/>
    <w:rsid w:val="009E7044"/>
    <w:rsid w:val="009E7174"/>
    <w:rsid w:val="009F3E02"/>
    <w:rsid w:val="00A01CE9"/>
    <w:rsid w:val="00A12528"/>
    <w:rsid w:val="00A236D7"/>
    <w:rsid w:val="00A27337"/>
    <w:rsid w:val="00A451EA"/>
    <w:rsid w:val="00A51934"/>
    <w:rsid w:val="00A614B9"/>
    <w:rsid w:val="00A619AB"/>
    <w:rsid w:val="00A85AA8"/>
    <w:rsid w:val="00A87CB9"/>
    <w:rsid w:val="00AB167D"/>
    <w:rsid w:val="00AB3AEC"/>
    <w:rsid w:val="00AC5B97"/>
    <w:rsid w:val="00AE15D2"/>
    <w:rsid w:val="00AE6FE9"/>
    <w:rsid w:val="00AF708E"/>
    <w:rsid w:val="00B21F1F"/>
    <w:rsid w:val="00B33445"/>
    <w:rsid w:val="00B5397F"/>
    <w:rsid w:val="00B55FCD"/>
    <w:rsid w:val="00B75206"/>
    <w:rsid w:val="00B7766A"/>
    <w:rsid w:val="00B81CA6"/>
    <w:rsid w:val="00B9095C"/>
    <w:rsid w:val="00B90EA4"/>
    <w:rsid w:val="00BA1F87"/>
    <w:rsid w:val="00BA2E8E"/>
    <w:rsid w:val="00BB253D"/>
    <w:rsid w:val="00BB33DD"/>
    <w:rsid w:val="00BB5029"/>
    <w:rsid w:val="00BB526C"/>
    <w:rsid w:val="00BC1457"/>
    <w:rsid w:val="00BD37DB"/>
    <w:rsid w:val="00BE0DFF"/>
    <w:rsid w:val="00BE155D"/>
    <w:rsid w:val="00C004D4"/>
    <w:rsid w:val="00C054BA"/>
    <w:rsid w:val="00C06D13"/>
    <w:rsid w:val="00C078F8"/>
    <w:rsid w:val="00C135C3"/>
    <w:rsid w:val="00C24094"/>
    <w:rsid w:val="00C31981"/>
    <w:rsid w:val="00C374A0"/>
    <w:rsid w:val="00C406A4"/>
    <w:rsid w:val="00C42CCD"/>
    <w:rsid w:val="00C63EA9"/>
    <w:rsid w:val="00C66300"/>
    <w:rsid w:val="00C73F01"/>
    <w:rsid w:val="00C81B0B"/>
    <w:rsid w:val="00C83875"/>
    <w:rsid w:val="00C97916"/>
    <w:rsid w:val="00CB4A82"/>
    <w:rsid w:val="00CC185D"/>
    <w:rsid w:val="00CD09E3"/>
    <w:rsid w:val="00CD2F53"/>
    <w:rsid w:val="00CD3D40"/>
    <w:rsid w:val="00CE45FE"/>
    <w:rsid w:val="00D01D9E"/>
    <w:rsid w:val="00D07F4E"/>
    <w:rsid w:val="00D3662A"/>
    <w:rsid w:val="00D44F78"/>
    <w:rsid w:val="00D503A4"/>
    <w:rsid w:val="00D545F1"/>
    <w:rsid w:val="00D67EDE"/>
    <w:rsid w:val="00D81700"/>
    <w:rsid w:val="00DB0F81"/>
    <w:rsid w:val="00DC0779"/>
    <w:rsid w:val="00DD65AF"/>
    <w:rsid w:val="00DE1BED"/>
    <w:rsid w:val="00DF71A3"/>
    <w:rsid w:val="00E003A3"/>
    <w:rsid w:val="00E215E5"/>
    <w:rsid w:val="00E223F6"/>
    <w:rsid w:val="00E44C00"/>
    <w:rsid w:val="00E67EA7"/>
    <w:rsid w:val="00E8739A"/>
    <w:rsid w:val="00EA20E7"/>
    <w:rsid w:val="00EB056B"/>
    <w:rsid w:val="00EC3B98"/>
    <w:rsid w:val="00ED24BF"/>
    <w:rsid w:val="00EE4511"/>
    <w:rsid w:val="00EE72C9"/>
    <w:rsid w:val="00F006DE"/>
    <w:rsid w:val="00F13730"/>
    <w:rsid w:val="00F179EF"/>
    <w:rsid w:val="00F209FA"/>
    <w:rsid w:val="00F217B9"/>
    <w:rsid w:val="00F235D3"/>
    <w:rsid w:val="00F24243"/>
    <w:rsid w:val="00F4229C"/>
    <w:rsid w:val="00F44ABE"/>
    <w:rsid w:val="00F5124D"/>
    <w:rsid w:val="00F52457"/>
    <w:rsid w:val="00F61507"/>
    <w:rsid w:val="00F70BCD"/>
    <w:rsid w:val="00F73F48"/>
    <w:rsid w:val="00F81097"/>
    <w:rsid w:val="00F879D2"/>
    <w:rsid w:val="00F96BD3"/>
    <w:rsid w:val="00FA560B"/>
    <w:rsid w:val="00FD01C4"/>
    <w:rsid w:val="00FD40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6CC3C"/>
  <w15:docId w15:val="{637E6AFA-4D45-4FCF-888D-F149E1C9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FCC"/>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6FCC"/>
    <w:pPr>
      <w:tabs>
        <w:tab w:val="center" w:pos="4320"/>
        <w:tab w:val="right" w:pos="8640"/>
      </w:tabs>
    </w:pPr>
    <w:rPr>
      <w:szCs w:val="20"/>
      <w:lang w:eastAsia="ja-JP"/>
    </w:rPr>
  </w:style>
  <w:style w:type="character" w:customStyle="1" w:styleId="FooterChar">
    <w:name w:val="Footer Char"/>
    <w:basedOn w:val="DefaultParagraphFont"/>
    <w:link w:val="Footer"/>
    <w:uiPriority w:val="99"/>
    <w:rsid w:val="00E56FCC"/>
    <w:rPr>
      <w:rFonts w:ascii="Times New Roman" w:eastAsia="MS Mincho" w:hAnsi="Times New Roman" w:cs="Times New Roman"/>
      <w:sz w:val="24"/>
      <w:szCs w:val="20"/>
      <w:lang w:val="en-US" w:eastAsia="ja-JP"/>
    </w:rPr>
  </w:style>
  <w:style w:type="paragraph" w:styleId="Header">
    <w:name w:val="header"/>
    <w:basedOn w:val="Normal"/>
    <w:link w:val="HeaderChar"/>
    <w:uiPriority w:val="99"/>
    <w:rsid w:val="00E56FCC"/>
    <w:pPr>
      <w:tabs>
        <w:tab w:val="center" w:pos="4680"/>
        <w:tab w:val="right" w:pos="9360"/>
      </w:tabs>
    </w:pPr>
  </w:style>
  <w:style w:type="character" w:customStyle="1" w:styleId="HeaderChar">
    <w:name w:val="Header Char"/>
    <w:basedOn w:val="DefaultParagraphFont"/>
    <w:link w:val="Header"/>
    <w:uiPriority w:val="99"/>
    <w:rsid w:val="00E56FCC"/>
    <w:rPr>
      <w:rFonts w:ascii="Times New Roman" w:eastAsia="MS Mincho" w:hAnsi="Times New Roman" w:cs="Times New Roman"/>
      <w:sz w:val="24"/>
      <w:szCs w:val="24"/>
      <w:lang w:val="en-US"/>
    </w:rPr>
  </w:style>
  <w:style w:type="character" w:styleId="Hyperlink">
    <w:name w:val="Hyperlink"/>
    <w:basedOn w:val="DefaultParagraphFont"/>
    <w:uiPriority w:val="99"/>
    <w:rsid w:val="00E56FCC"/>
    <w:rPr>
      <w:rFonts w:cs="Times New Roman"/>
      <w:color w:val="0000FF"/>
      <w:u w:val="single"/>
    </w:rPr>
  </w:style>
  <w:style w:type="character" w:styleId="CommentReference">
    <w:name w:val="annotation reference"/>
    <w:basedOn w:val="DefaultParagraphFont"/>
    <w:uiPriority w:val="99"/>
    <w:semiHidden/>
    <w:unhideWhenUsed/>
    <w:rsid w:val="007E12AB"/>
    <w:rPr>
      <w:sz w:val="16"/>
      <w:szCs w:val="16"/>
    </w:rPr>
  </w:style>
  <w:style w:type="paragraph" w:styleId="CommentText">
    <w:name w:val="annotation text"/>
    <w:basedOn w:val="Normal"/>
    <w:link w:val="CommentTextChar"/>
    <w:uiPriority w:val="99"/>
    <w:semiHidden/>
    <w:unhideWhenUsed/>
    <w:rsid w:val="007E12AB"/>
    <w:rPr>
      <w:sz w:val="20"/>
      <w:szCs w:val="20"/>
    </w:rPr>
  </w:style>
  <w:style w:type="character" w:customStyle="1" w:styleId="CommentTextChar">
    <w:name w:val="Comment Text Char"/>
    <w:basedOn w:val="DefaultParagraphFont"/>
    <w:link w:val="CommentText"/>
    <w:uiPriority w:val="99"/>
    <w:semiHidden/>
    <w:rsid w:val="007E12AB"/>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12AB"/>
    <w:rPr>
      <w:b/>
      <w:bCs/>
    </w:rPr>
  </w:style>
  <w:style w:type="character" w:customStyle="1" w:styleId="CommentSubjectChar">
    <w:name w:val="Comment Subject Char"/>
    <w:basedOn w:val="CommentTextChar"/>
    <w:link w:val="CommentSubject"/>
    <w:uiPriority w:val="99"/>
    <w:semiHidden/>
    <w:rsid w:val="007E12AB"/>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7E12AB"/>
    <w:rPr>
      <w:rFonts w:ascii="Tahoma" w:hAnsi="Tahoma" w:cs="Tahoma"/>
      <w:sz w:val="16"/>
      <w:szCs w:val="16"/>
    </w:rPr>
  </w:style>
  <w:style w:type="character" w:customStyle="1" w:styleId="BalloonTextChar">
    <w:name w:val="Balloon Text Char"/>
    <w:basedOn w:val="DefaultParagraphFont"/>
    <w:link w:val="BalloonText"/>
    <w:uiPriority w:val="99"/>
    <w:semiHidden/>
    <w:rsid w:val="007E12AB"/>
    <w:rPr>
      <w:rFonts w:ascii="Tahoma" w:eastAsia="MS Mincho" w:hAnsi="Tahoma" w:cs="Tahoma"/>
      <w:sz w:val="16"/>
      <w:szCs w:val="16"/>
      <w:lang w:val="en-US"/>
    </w:rPr>
  </w:style>
  <w:style w:type="paragraph" w:styleId="NormalWeb">
    <w:name w:val="Normal (Web)"/>
    <w:basedOn w:val="Normal"/>
    <w:uiPriority w:val="99"/>
    <w:semiHidden/>
    <w:unhideWhenUsed/>
    <w:rsid w:val="00DC0779"/>
  </w:style>
  <w:style w:type="character" w:customStyle="1" w:styleId="UnresolvedMention1">
    <w:name w:val="Unresolved Mention1"/>
    <w:basedOn w:val="DefaultParagraphFont"/>
    <w:uiPriority w:val="99"/>
    <w:semiHidden/>
    <w:unhideWhenUsed/>
    <w:rsid w:val="00805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8867">
      <w:bodyDiv w:val="1"/>
      <w:marLeft w:val="0"/>
      <w:marRight w:val="0"/>
      <w:marTop w:val="0"/>
      <w:marBottom w:val="0"/>
      <w:divBdr>
        <w:top w:val="none" w:sz="0" w:space="0" w:color="auto"/>
        <w:left w:val="none" w:sz="0" w:space="0" w:color="auto"/>
        <w:bottom w:val="none" w:sz="0" w:space="0" w:color="auto"/>
        <w:right w:val="none" w:sz="0" w:space="0" w:color="auto"/>
      </w:divBdr>
    </w:div>
    <w:div w:id="146164878">
      <w:bodyDiv w:val="1"/>
      <w:marLeft w:val="0"/>
      <w:marRight w:val="0"/>
      <w:marTop w:val="0"/>
      <w:marBottom w:val="0"/>
      <w:divBdr>
        <w:top w:val="none" w:sz="0" w:space="0" w:color="auto"/>
        <w:left w:val="none" w:sz="0" w:space="0" w:color="auto"/>
        <w:bottom w:val="none" w:sz="0" w:space="0" w:color="auto"/>
        <w:right w:val="none" w:sz="0" w:space="0" w:color="auto"/>
      </w:divBdr>
    </w:div>
    <w:div w:id="202644313">
      <w:bodyDiv w:val="1"/>
      <w:marLeft w:val="0"/>
      <w:marRight w:val="0"/>
      <w:marTop w:val="0"/>
      <w:marBottom w:val="0"/>
      <w:divBdr>
        <w:top w:val="none" w:sz="0" w:space="0" w:color="auto"/>
        <w:left w:val="none" w:sz="0" w:space="0" w:color="auto"/>
        <w:bottom w:val="none" w:sz="0" w:space="0" w:color="auto"/>
        <w:right w:val="none" w:sz="0" w:space="0" w:color="auto"/>
      </w:divBdr>
    </w:div>
    <w:div w:id="286081819">
      <w:bodyDiv w:val="1"/>
      <w:marLeft w:val="0"/>
      <w:marRight w:val="0"/>
      <w:marTop w:val="0"/>
      <w:marBottom w:val="0"/>
      <w:divBdr>
        <w:top w:val="none" w:sz="0" w:space="0" w:color="auto"/>
        <w:left w:val="none" w:sz="0" w:space="0" w:color="auto"/>
        <w:bottom w:val="none" w:sz="0" w:space="0" w:color="auto"/>
        <w:right w:val="none" w:sz="0" w:space="0" w:color="auto"/>
      </w:divBdr>
    </w:div>
    <w:div w:id="513617246">
      <w:bodyDiv w:val="1"/>
      <w:marLeft w:val="0"/>
      <w:marRight w:val="0"/>
      <w:marTop w:val="0"/>
      <w:marBottom w:val="0"/>
      <w:divBdr>
        <w:top w:val="none" w:sz="0" w:space="0" w:color="auto"/>
        <w:left w:val="none" w:sz="0" w:space="0" w:color="auto"/>
        <w:bottom w:val="none" w:sz="0" w:space="0" w:color="auto"/>
        <w:right w:val="none" w:sz="0" w:space="0" w:color="auto"/>
      </w:divBdr>
    </w:div>
    <w:div w:id="806623998">
      <w:bodyDiv w:val="1"/>
      <w:marLeft w:val="0"/>
      <w:marRight w:val="0"/>
      <w:marTop w:val="0"/>
      <w:marBottom w:val="0"/>
      <w:divBdr>
        <w:top w:val="none" w:sz="0" w:space="0" w:color="auto"/>
        <w:left w:val="none" w:sz="0" w:space="0" w:color="auto"/>
        <w:bottom w:val="none" w:sz="0" w:space="0" w:color="auto"/>
        <w:right w:val="none" w:sz="0" w:space="0" w:color="auto"/>
      </w:divBdr>
      <w:divsChild>
        <w:div w:id="2066251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718169">
              <w:marLeft w:val="0"/>
              <w:marRight w:val="0"/>
              <w:marTop w:val="0"/>
              <w:marBottom w:val="0"/>
              <w:divBdr>
                <w:top w:val="none" w:sz="0" w:space="0" w:color="auto"/>
                <w:left w:val="none" w:sz="0" w:space="0" w:color="auto"/>
                <w:bottom w:val="none" w:sz="0" w:space="0" w:color="auto"/>
                <w:right w:val="none" w:sz="0" w:space="0" w:color="auto"/>
              </w:divBdr>
              <w:divsChild>
                <w:div w:id="90888003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694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28533">
      <w:bodyDiv w:val="1"/>
      <w:marLeft w:val="0"/>
      <w:marRight w:val="0"/>
      <w:marTop w:val="0"/>
      <w:marBottom w:val="0"/>
      <w:divBdr>
        <w:top w:val="none" w:sz="0" w:space="0" w:color="auto"/>
        <w:left w:val="none" w:sz="0" w:space="0" w:color="auto"/>
        <w:bottom w:val="none" w:sz="0" w:space="0" w:color="auto"/>
        <w:right w:val="none" w:sz="0" w:space="0" w:color="auto"/>
      </w:divBdr>
    </w:div>
    <w:div w:id="1390809068">
      <w:bodyDiv w:val="1"/>
      <w:marLeft w:val="0"/>
      <w:marRight w:val="0"/>
      <w:marTop w:val="0"/>
      <w:marBottom w:val="0"/>
      <w:divBdr>
        <w:top w:val="none" w:sz="0" w:space="0" w:color="auto"/>
        <w:left w:val="none" w:sz="0" w:space="0" w:color="auto"/>
        <w:bottom w:val="none" w:sz="0" w:space="0" w:color="auto"/>
        <w:right w:val="none" w:sz="0" w:space="0" w:color="auto"/>
      </w:divBdr>
    </w:div>
    <w:div w:id="1880389615">
      <w:bodyDiv w:val="1"/>
      <w:marLeft w:val="0"/>
      <w:marRight w:val="0"/>
      <w:marTop w:val="0"/>
      <w:marBottom w:val="0"/>
      <w:divBdr>
        <w:top w:val="none" w:sz="0" w:space="0" w:color="auto"/>
        <w:left w:val="none" w:sz="0" w:space="0" w:color="auto"/>
        <w:bottom w:val="none" w:sz="0" w:space="0" w:color="auto"/>
        <w:right w:val="none" w:sz="0" w:space="0" w:color="auto"/>
      </w:divBdr>
    </w:div>
    <w:div w:id="1987279205">
      <w:bodyDiv w:val="1"/>
      <w:marLeft w:val="0"/>
      <w:marRight w:val="0"/>
      <w:marTop w:val="0"/>
      <w:marBottom w:val="0"/>
      <w:divBdr>
        <w:top w:val="none" w:sz="0" w:space="0" w:color="auto"/>
        <w:left w:val="none" w:sz="0" w:space="0" w:color="auto"/>
        <w:bottom w:val="none" w:sz="0" w:space="0" w:color="auto"/>
        <w:right w:val="none" w:sz="0" w:space="0" w:color="auto"/>
      </w:divBdr>
    </w:div>
    <w:div w:id="21111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8EC9970AE5A448917BBE4BA83DFF15" ma:contentTypeVersion="2" ma:contentTypeDescription="Create a new document." ma:contentTypeScope="" ma:versionID="e096a9c519ea531df116138eac71974b">
  <xsd:schema xmlns:xsd="http://www.w3.org/2001/XMLSchema" xmlns:xs="http://www.w3.org/2001/XMLSchema" xmlns:p="http://schemas.microsoft.com/office/2006/metadata/properties" xmlns:ns3="24a32ba6-d24d-4d7e-9b37-7f7af330b8d0" targetNamespace="http://schemas.microsoft.com/office/2006/metadata/properties" ma:root="true" ma:fieldsID="1d81bc28ae83468f4e13d7aa8f0bf183" ns3:_="">
    <xsd:import namespace="24a32ba6-d24d-4d7e-9b37-7f7af330b8d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32ba6-d24d-4d7e-9b37-7f7af330b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4E012-2A41-4E3A-9CB7-3D0C9AE15A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E7FA9-A4FE-4620-9845-9E82606DE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32ba6-d24d-4d7e-9b37-7f7af330b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004F8-DB75-46F9-9B17-27A148C99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4857</Characters>
  <Application>Microsoft Office Word</Application>
  <DocSecurity>0</DocSecurity>
  <Lines>255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Hodgman</dc:creator>
  <cp:keywords/>
  <dc:description/>
  <cp:lastModifiedBy>Catalina R. Spanu</cp:lastModifiedBy>
  <cp:revision>4</cp:revision>
  <cp:lastPrinted>2021-07-16T15:35:00Z</cp:lastPrinted>
  <dcterms:created xsi:type="dcterms:W3CDTF">2023-06-21T17:25:00Z</dcterms:created>
  <dcterms:modified xsi:type="dcterms:W3CDTF">2023-06-21T19:18:00Z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eDOCS AutoSave">
    <vt:lpwstr>20190315125250344</vt:lpwstr>
  </property>
  <property fmtid="{D5CDD505-2E9C-101B-9397-08002B2CF9AE}" pid="4" name="ContentTypeId">
    <vt:lpwstr>0x010100C08EC9970AE5A448917BBE4BA83DFF15</vt:lpwstr>
  </property>
  <property fmtid="{D5CDD505-2E9C-101B-9397-08002B2CF9AE}" pid="5" name="ndDocumentId">
    <vt:lpwstr>4820-8522-5429</vt:lpwstr>
  </property>
</Properties>
</file>